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578" w:lineRule="exact"/>
        <w:jc w:val="both"/>
        <w:textAlignment w:val="auto"/>
        <w:rPr>
          <w:rFonts w:hint="eastAsia" w:cs="Times New Roman"/>
          <w:b/>
          <w:bCs/>
          <w:sz w:val="32"/>
          <w:szCs w:val="32"/>
          <w:lang w:val="en-US" w:eastAsia="zh-CN"/>
        </w:rPr>
      </w:pPr>
      <w:r>
        <w:rPr>
          <w:rFonts w:hint="eastAsia" w:cs="Times New Roman"/>
          <w:b/>
          <w:bCs/>
          <w:sz w:val="32"/>
          <w:szCs w:val="32"/>
          <w:lang w:val="en-US" w:eastAsia="zh-CN"/>
        </w:rPr>
        <w:t>附件2</w:t>
      </w:r>
    </w:p>
    <w:p>
      <w:pPr>
        <w:pStyle w:val="2"/>
        <w:numPr>
          <w:ilvl w:val="0"/>
          <w:numId w:val="0"/>
        </w:numPr>
        <w:ind w:leftChars="0"/>
        <w:jc w:val="center"/>
        <w:rPr>
          <w:rFonts w:hint="eastAsia" w:cs="Times New Roman"/>
          <w:sz w:val="44"/>
          <w:szCs w:val="44"/>
          <w:lang w:val="en-US" w:eastAsia="zh-CN"/>
        </w:rPr>
      </w:pPr>
    </w:p>
    <w:p>
      <w:pPr>
        <w:pStyle w:val="2"/>
        <w:numPr>
          <w:ilvl w:val="0"/>
          <w:numId w:val="0"/>
        </w:numPr>
        <w:ind w:leftChars="0"/>
        <w:jc w:val="center"/>
        <w:rPr>
          <w:rFonts w:hint="eastAsia" w:cs="Times New Roman"/>
          <w:sz w:val="44"/>
          <w:szCs w:val="44"/>
          <w:lang w:val="en-US" w:eastAsia="zh-CN"/>
        </w:rPr>
      </w:pPr>
      <w:r>
        <w:rPr>
          <w:rFonts w:hint="eastAsia" w:cs="Times New Roman"/>
          <w:sz w:val="44"/>
          <w:szCs w:val="44"/>
          <w:lang w:val="en-US" w:eastAsia="zh-CN"/>
        </w:rPr>
        <w:t>《汕头市市场监督管理局（知识产权局）</w:t>
      </w:r>
    </w:p>
    <w:p>
      <w:pPr>
        <w:pStyle w:val="2"/>
        <w:numPr>
          <w:ilvl w:val="0"/>
          <w:numId w:val="0"/>
        </w:numPr>
        <w:ind w:leftChars="0"/>
        <w:jc w:val="center"/>
        <w:rPr>
          <w:rFonts w:hint="eastAsia" w:cs="Times New Roman"/>
          <w:sz w:val="44"/>
          <w:szCs w:val="44"/>
          <w:lang w:val="en-US" w:eastAsia="zh-CN"/>
        </w:rPr>
      </w:pPr>
      <w:r>
        <w:rPr>
          <w:rFonts w:hint="eastAsia" w:cs="Times New Roman"/>
          <w:sz w:val="44"/>
          <w:szCs w:val="44"/>
          <w:lang w:val="en-US" w:eastAsia="zh-CN"/>
        </w:rPr>
        <w:t>知识产权质押融资风险补偿资金</w:t>
      </w:r>
    </w:p>
    <w:p>
      <w:pPr>
        <w:pStyle w:val="2"/>
        <w:numPr>
          <w:ilvl w:val="0"/>
          <w:numId w:val="0"/>
        </w:numPr>
        <w:ind w:leftChars="0"/>
        <w:jc w:val="center"/>
        <w:rPr>
          <w:rFonts w:hint="eastAsia" w:cs="Times New Roman"/>
          <w:sz w:val="44"/>
          <w:szCs w:val="44"/>
          <w:lang w:val="en-US" w:eastAsia="zh-CN"/>
        </w:rPr>
      </w:pPr>
      <w:r>
        <w:rPr>
          <w:rFonts w:hint="eastAsia" w:cs="Times New Roman"/>
          <w:sz w:val="44"/>
          <w:szCs w:val="44"/>
          <w:lang w:val="en-US" w:eastAsia="zh-CN"/>
        </w:rPr>
        <w:t>管理办法》制订说明</w:t>
      </w:r>
    </w:p>
    <w:p>
      <w:pPr>
        <w:ind w:firstLine="640" w:firstLineChars="200"/>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spacing w:line="578" w:lineRule="exact"/>
        <w:ind w:firstLine="640" w:firstLineChars="200"/>
        <w:textAlignment w:val="auto"/>
        <w:rPr>
          <w:rFonts w:hint="eastAsia" w:cs="Times New Roman"/>
          <w:sz w:val="32"/>
          <w:szCs w:val="32"/>
          <w:lang w:val="en-US" w:eastAsia="zh-CN"/>
        </w:rPr>
      </w:pPr>
      <w:r>
        <w:rPr>
          <w:rFonts w:hint="eastAsia" w:ascii="方正仿宋简体" w:hAnsi="方正仿宋简体" w:eastAsia="方正仿宋简体" w:cs="方正仿宋简体"/>
          <w:sz w:val="32"/>
          <w:szCs w:val="32"/>
          <w:lang w:val="en-US" w:eastAsia="zh-CN"/>
        </w:rPr>
        <w:t>《</w:t>
      </w:r>
      <w:r>
        <w:rPr>
          <w:rFonts w:hint="default" w:ascii="Times New Roman" w:hAnsi="Times New Roman" w:eastAsia="仿宋_GB2312" w:cs="Times New Roman"/>
          <w:sz w:val="32"/>
          <w:szCs w:val="32"/>
          <w:lang w:val="en-US" w:eastAsia="zh-CN"/>
        </w:rPr>
        <w:t>汕头市市场监督管理局（知识产权局）关于知识产权质押融资风险补偿资金管理办法</w:t>
      </w:r>
      <w:r>
        <w:rPr>
          <w:rFonts w:hint="eastAsia" w:ascii="方正仿宋简体" w:hAnsi="方正仿宋简体" w:eastAsia="方正仿宋简体" w:cs="方正仿宋简体"/>
          <w:sz w:val="32"/>
          <w:szCs w:val="32"/>
          <w:lang w:val="en-US" w:eastAsia="zh-CN"/>
        </w:rPr>
        <w:t>》</w:t>
      </w:r>
      <w:r>
        <w:rPr>
          <w:rFonts w:hint="default" w:ascii="Times New Roman" w:hAnsi="Times New Roman" w:eastAsia="仿宋_GB2312" w:cs="Times New Roman"/>
          <w:sz w:val="32"/>
          <w:szCs w:val="32"/>
          <w:lang w:val="en-US" w:eastAsia="zh-CN"/>
        </w:rPr>
        <w:t>（汕市监</w:t>
      </w:r>
      <w:r>
        <w:rPr>
          <w:rFonts w:hint="default" w:ascii="Times New Roman" w:hAnsi="Times New Roman" w:cs="Times New Roman"/>
          <w:sz w:val="32"/>
          <w:szCs w:val="32"/>
          <w:lang w:eastAsia="zh-CN"/>
        </w:rPr>
        <w:t>〔2022〕25</w:t>
      </w:r>
      <w:r>
        <w:rPr>
          <w:rFonts w:hint="default" w:ascii="Times New Roman" w:hAnsi="Times New Roman" w:eastAsia="仿宋_GB2312" w:cs="Times New Roman"/>
          <w:sz w:val="32"/>
          <w:szCs w:val="32"/>
          <w:lang w:val="en-US" w:eastAsia="zh-CN"/>
        </w:rPr>
        <w:t>号</w:t>
      </w:r>
      <w:r>
        <w:rPr>
          <w:rFonts w:hint="eastAsia" w:cs="Times New Roman"/>
          <w:sz w:val="32"/>
          <w:szCs w:val="32"/>
          <w:lang w:val="en-US" w:eastAsia="zh-CN"/>
        </w:rPr>
        <w:t>）（以下简称《办法》）于2025年4月14日有效期届满，市市场监督管理局</w:t>
      </w:r>
      <w:r>
        <w:rPr>
          <w:rFonts w:hint="default" w:ascii="Times New Roman" w:hAnsi="Times New Roman" w:eastAsia="仿宋_GB2312" w:cs="Times New Roman"/>
          <w:sz w:val="32"/>
          <w:szCs w:val="32"/>
          <w:lang w:val="en-US" w:eastAsia="zh-CN"/>
        </w:rPr>
        <w:t>决定</w:t>
      </w:r>
      <w:r>
        <w:rPr>
          <w:rFonts w:hint="eastAsia" w:cs="Times New Roman"/>
          <w:sz w:val="32"/>
          <w:szCs w:val="32"/>
          <w:lang w:val="en-US" w:eastAsia="zh-CN"/>
        </w:rPr>
        <w:t>重新制订《汕头市市场监督管理局（知识产权局）知识产权质押融资风险补偿资金管理办法》，作如下说明：</w:t>
      </w:r>
    </w:p>
    <w:p>
      <w:pPr>
        <w:pageBreakBefore w:val="0"/>
        <w:widowControl w:val="0"/>
        <w:kinsoku/>
        <w:wordWrap/>
        <w:overflowPunct/>
        <w:topLinePunct w:val="0"/>
        <w:autoSpaceDE/>
        <w:autoSpaceDN/>
        <w:bidi w:val="0"/>
        <w:spacing w:line="578" w:lineRule="exact"/>
        <w:ind w:firstLine="720" w:firstLineChars="225"/>
        <w:textAlignment w:val="auto"/>
        <w:rPr>
          <w:rFonts w:hint="eastAsia" w:ascii="黑体" w:eastAsia="黑体"/>
          <w:sz w:val="32"/>
          <w:szCs w:val="32"/>
        </w:rPr>
      </w:pPr>
      <w:r>
        <w:rPr>
          <w:rFonts w:hint="eastAsia" w:ascii="黑体" w:eastAsia="黑体"/>
          <w:sz w:val="32"/>
          <w:szCs w:val="32"/>
          <w:lang w:eastAsia="zh-CN"/>
        </w:rPr>
        <w:t>一</w:t>
      </w:r>
      <w:r>
        <w:rPr>
          <w:rFonts w:hint="eastAsia" w:ascii="黑体" w:eastAsia="黑体"/>
          <w:sz w:val="32"/>
          <w:szCs w:val="32"/>
        </w:rPr>
        <w:t>、《办法》</w:t>
      </w:r>
      <w:r>
        <w:rPr>
          <w:rFonts w:hint="eastAsia" w:ascii="黑体" w:eastAsia="黑体"/>
          <w:sz w:val="32"/>
          <w:szCs w:val="32"/>
          <w:lang w:eastAsia="zh-CN"/>
        </w:rPr>
        <w:t>制定</w:t>
      </w:r>
      <w:r>
        <w:rPr>
          <w:rFonts w:hint="eastAsia" w:ascii="黑体" w:eastAsia="黑体"/>
          <w:sz w:val="32"/>
          <w:szCs w:val="32"/>
        </w:rPr>
        <w:t>的</w:t>
      </w:r>
      <w:r>
        <w:rPr>
          <w:rFonts w:hint="eastAsia" w:ascii="黑体" w:eastAsia="黑体"/>
          <w:sz w:val="32"/>
          <w:szCs w:val="32"/>
          <w:lang w:eastAsia="zh-CN"/>
        </w:rPr>
        <w:t>必要性</w:t>
      </w:r>
    </w:p>
    <w:p>
      <w:pPr>
        <w:pageBreakBefore w:val="0"/>
        <w:widowControl w:val="0"/>
        <w:kinsoku/>
        <w:wordWrap/>
        <w:overflowPunct/>
        <w:topLinePunct w:val="0"/>
        <w:autoSpaceDE/>
        <w:autoSpaceDN/>
        <w:bidi w:val="0"/>
        <w:spacing w:line="578" w:lineRule="exact"/>
        <w:ind w:firstLine="720" w:firstLineChars="225"/>
        <w:textAlignment w:val="auto"/>
        <w:rPr>
          <w:rFonts w:hint="eastAsia" w:ascii="黑体" w:eastAsia="黑体"/>
          <w:sz w:val="32"/>
          <w:szCs w:val="32"/>
          <w:lang w:eastAsia="zh-CN"/>
        </w:rPr>
      </w:pPr>
      <w:r>
        <w:rPr>
          <w:rFonts w:hint="default" w:ascii="Times New Roman" w:hAnsi="Times New Roman" w:eastAsia="仿宋_GB2312" w:cs="Times New Roman"/>
          <w:sz w:val="32"/>
          <w:szCs w:val="32"/>
          <w:lang w:val="en-US" w:eastAsia="zh-CN"/>
        </w:rPr>
        <w:t>为进一步推动知识产权质押融资工作提质增量，解决市场主体融资难问题，不断优化我市创新环境和营商环境</w:t>
      </w:r>
      <w:r>
        <w:rPr>
          <w:rFonts w:hint="eastAsia" w:cs="Times New Roman"/>
          <w:sz w:val="32"/>
          <w:szCs w:val="32"/>
          <w:lang w:val="en-US" w:eastAsia="zh-CN"/>
        </w:rPr>
        <w:t>。</w:t>
      </w:r>
      <w:bookmarkStart w:id="0" w:name="_GoBack"/>
      <w:bookmarkEnd w:id="0"/>
    </w:p>
    <w:p>
      <w:pPr>
        <w:pageBreakBefore w:val="0"/>
        <w:widowControl w:val="0"/>
        <w:kinsoku/>
        <w:wordWrap/>
        <w:overflowPunct/>
        <w:topLinePunct w:val="0"/>
        <w:autoSpaceDE/>
        <w:autoSpaceDN/>
        <w:bidi w:val="0"/>
        <w:spacing w:line="578" w:lineRule="exact"/>
        <w:ind w:firstLine="720" w:firstLineChars="225"/>
        <w:textAlignment w:val="auto"/>
        <w:rPr>
          <w:rFonts w:hint="eastAsia" w:ascii="黑体" w:eastAsia="黑体"/>
          <w:sz w:val="32"/>
          <w:szCs w:val="32"/>
        </w:rPr>
      </w:pPr>
      <w:r>
        <w:rPr>
          <w:rFonts w:hint="eastAsia" w:ascii="黑体" w:eastAsia="黑体"/>
          <w:sz w:val="32"/>
          <w:szCs w:val="32"/>
          <w:lang w:eastAsia="zh-CN"/>
        </w:rPr>
        <w:t>二</w:t>
      </w:r>
      <w:r>
        <w:rPr>
          <w:rFonts w:hint="eastAsia" w:ascii="黑体" w:eastAsia="黑体"/>
          <w:sz w:val="32"/>
          <w:szCs w:val="32"/>
        </w:rPr>
        <w:t>、</w:t>
      </w:r>
      <w:r>
        <w:rPr>
          <w:rFonts w:hint="eastAsia" w:ascii="黑体" w:eastAsia="黑体"/>
          <w:sz w:val="32"/>
          <w:szCs w:val="32"/>
          <w:lang w:eastAsia="zh-CN"/>
        </w:rPr>
        <w:t>制</w:t>
      </w:r>
      <w:r>
        <w:rPr>
          <w:rFonts w:hint="eastAsia" w:ascii="黑体" w:eastAsia="黑体"/>
          <w:sz w:val="32"/>
          <w:szCs w:val="32"/>
        </w:rPr>
        <w:t>订《办法》的主要政策法规依据</w:t>
      </w:r>
    </w:p>
    <w:p>
      <w:pPr>
        <w:pageBreakBefore w:val="0"/>
        <w:widowControl w:val="0"/>
        <w:kinsoku/>
        <w:wordWrap/>
        <w:overflowPunct/>
        <w:topLinePunct w:val="0"/>
        <w:autoSpaceDE/>
        <w:autoSpaceDN/>
        <w:bidi w:val="0"/>
        <w:spacing w:line="578" w:lineRule="exact"/>
        <w:ind w:firstLine="720" w:firstLineChars="22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2018年4月，省知识产权局与原市知识产权局签订《2018年广东省知识产权局知识产权质押融资风险补偿机制建立项目委托合同》，由省财政安排专项资金500万元支持我市建立“知识产权质押融资风险补偿机制”。</w:t>
      </w:r>
    </w:p>
    <w:p>
      <w:pPr>
        <w:pageBreakBefore w:val="0"/>
        <w:widowControl w:val="0"/>
        <w:kinsoku/>
        <w:wordWrap/>
        <w:overflowPunct/>
        <w:topLinePunct w:val="0"/>
        <w:autoSpaceDE/>
        <w:autoSpaceDN/>
        <w:bidi w:val="0"/>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2019年8月，《广东省市场监督管理局办公室关于进一步推动知识产权质押融资工作的通知》（粤市监办发〔2019〕496号）明确要求：“加快建立知识产权质押融资风险补偿机制。建立完善知识产权质押融资风险补偿基金池，获得省财政引导资金的地市，按照省市投入珠三角地区不少于1：2、粤东西北地区不少于1：1的原则，落实地市配套资金，尽快出台知识产权质押融资风险补偿基金管理办法，力争2020年实现全省知识产权质押融资风险补偿基金全覆盖。”</w:t>
      </w:r>
    </w:p>
    <w:p>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三、主要内容说明</w:t>
      </w:r>
    </w:p>
    <w:p>
      <w:pPr>
        <w:pageBreakBefore w:val="0"/>
        <w:widowControl w:val="0"/>
        <w:kinsoku/>
        <w:wordWrap/>
        <w:overflowPunct/>
        <w:topLinePunct w:val="0"/>
        <w:autoSpaceDE/>
        <w:autoSpaceDN/>
        <w:bidi w:val="0"/>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《办法》共分7章33条：</w:t>
      </w:r>
    </w:p>
    <w:p>
      <w:pPr>
        <w:pageBreakBefore w:val="0"/>
        <w:widowControl w:val="0"/>
        <w:kinsoku/>
        <w:wordWrap/>
        <w:overflowPunct/>
        <w:topLinePunct w:val="0"/>
        <w:autoSpaceDE/>
        <w:autoSpaceDN/>
        <w:bidi w:val="0"/>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第一章“总则”，阐述制定办法的目的和意义，建立风险补偿资金的作用和资金来源，明确知识产权质押融资、合作机构的定义。</w:t>
      </w:r>
    </w:p>
    <w:p>
      <w:pPr>
        <w:pageBreakBefore w:val="0"/>
        <w:widowControl w:val="0"/>
        <w:kinsoku/>
        <w:wordWrap/>
        <w:overflowPunct/>
        <w:topLinePunct w:val="0"/>
        <w:autoSpaceDE/>
        <w:autoSpaceDN/>
        <w:bidi w:val="0"/>
        <w:spacing w:line="578" w:lineRule="exact"/>
        <w:ind w:firstLine="640" w:firstLineChars="200"/>
        <w:textAlignment w:val="auto"/>
        <w:rPr>
          <w:rFonts w:hint="eastAsia" w:ascii="仿宋_GB2312" w:hAnsi="仿宋_GB2312" w:eastAsia="仿宋_GB2312" w:cs="仿宋_GB2312"/>
          <w:sz w:val="32"/>
          <w:szCs w:val="32"/>
        </w:rPr>
      </w:pPr>
      <w:r>
        <w:rPr>
          <w:rFonts w:hint="eastAsia" w:ascii="Times New Roman" w:hAnsi="Times New Roman" w:eastAsia="仿宋_GB2312" w:cs="Times New Roman"/>
          <w:sz w:val="32"/>
          <w:szCs w:val="32"/>
          <w:lang w:val="en-US" w:eastAsia="zh-CN"/>
        </w:rPr>
        <w:t>删除</w:t>
      </w:r>
      <w:r>
        <w:rPr>
          <w:rFonts w:hint="eastAsia" w:cs="Times New Roman"/>
          <w:sz w:val="32"/>
          <w:szCs w:val="32"/>
          <w:lang w:val="en-US" w:eastAsia="zh-CN"/>
        </w:rPr>
        <w:t>原</w:t>
      </w:r>
      <w:r>
        <w:rPr>
          <w:rFonts w:hint="eastAsia" w:ascii="Times New Roman" w:hAnsi="Times New Roman" w:eastAsia="仿宋_GB2312" w:cs="Times New Roman"/>
          <w:sz w:val="32"/>
          <w:szCs w:val="32"/>
          <w:lang w:val="en-US" w:eastAsia="zh-CN"/>
        </w:rPr>
        <w:t>《办法》中的第三条 第三款中“</w:t>
      </w:r>
      <w:r>
        <w:rPr>
          <w:rFonts w:hint="default" w:ascii="Times New Roman" w:hAnsi="Times New Roman" w:eastAsia="仿宋_GB2312" w:cs="Times New Roman"/>
          <w:sz w:val="32"/>
          <w:szCs w:val="32"/>
          <w:lang w:val="en-US" w:eastAsia="zh-CN"/>
        </w:rPr>
        <w:t>风险补偿资金产生利息滚存计入风险补偿资金专户，实行专款专用。</w:t>
      </w:r>
      <w:r>
        <w:rPr>
          <w:rFonts w:hint="eastAsia" w:ascii="Times New Roman" w:hAnsi="Times New Roman" w:eastAsia="仿宋_GB2312" w:cs="Times New Roman"/>
          <w:sz w:val="32"/>
          <w:szCs w:val="32"/>
          <w:lang w:val="en-US" w:eastAsia="zh-CN"/>
        </w:rPr>
        <w:t xml:space="preserve">” </w:t>
      </w:r>
      <w:r>
        <w:rPr>
          <w:rFonts w:hint="eastAsia" w:cs="Times New Roman"/>
          <w:sz w:val="32"/>
          <w:szCs w:val="32"/>
          <w:lang w:val="en-US" w:eastAsia="zh-CN"/>
        </w:rPr>
        <w:t>理由是全省大部分地市目前都是用产生的利息作管理费。</w:t>
      </w:r>
    </w:p>
    <w:p>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第二章“资金管理构架及职责”，规定设立风险补偿资金管理委员会作为风险补偿资金的主管机构，明确管理委员会、资金管理人的主要职责，确定资金管理年费的标准和列支。</w:t>
      </w:r>
    </w:p>
    <w:p>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jc w:val="both"/>
        <w:textAlignment w:val="auto"/>
        <w:rPr>
          <w:rFonts w:hint="eastAsia"/>
        </w:rPr>
      </w:pPr>
      <w:r>
        <w:rPr>
          <w:rFonts w:hint="eastAsia" w:cs="Times New Roman"/>
          <w:sz w:val="32"/>
          <w:szCs w:val="32"/>
          <w:lang w:val="en-US" w:eastAsia="zh-CN"/>
        </w:rPr>
        <w:t>在</w:t>
      </w:r>
      <w:r>
        <w:rPr>
          <w:rFonts w:hint="eastAsia" w:ascii="Times New Roman" w:hAnsi="Times New Roman" w:eastAsia="仿宋_GB2312" w:cs="Times New Roman"/>
          <w:sz w:val="32"/>
          <w:szCs w:val="32"/>
          <w:lang w:val="en-US" w:eastAsia="zh-CN"/>
        </w:rPr>
        <w:t>第</w:t>
      </w:r>
      <w:r>
        <w:rPr>
          <w:rFonts w:hint="eastAsia" w:cs="Times New Roman"/>
          <w:sz w:val="32"/>
          <w:szCs w:val="32"/>
          <w:lang w:val="en-US" w:eastAsia="zh-CN"/>
        </w:rPr>
        <w:t>九</w:t>
      </w:r>
      <w:r>
        <w:rPr>
          <w:rFonts w:hint="eastAsia" w:ascii="Times New Roman" w:hAnsi="Times New Roman" w:eastAsia="仿宋_GB2312" w:cs="Times New Roman"/>
          <w:sz w:val="32"/>
          <w:szCs w:val="32"/>
          <w:lang w:val="en-US" w:eastAsia="zh-CN"/>
        </w:rPr>
        <w:t>条 “</w:t>
      </w:r>
      <w:r>
        <w:rPr>
          <w:rFonts w:hint="default" w:ascii="Times New Roman" w:hAnsi="Times New Roman" w:eastAsia="仿宋_GB2312" w:cs="Times New Roman"/>
          <w:sz w:val="32"/>
          <w:szCs w:val="32"/>
          <w:lang w:val="en-US" w:eastAsia="zh-CN"/>
        </w:rPr>
        <w:t>资金管理年费按年度支付，用以保障与资金相关的项目调查费用及日常运营支出</w:t>
      </w:r>
      <w:r>
        <w:rPr>
          <w:rFonts w:hint="eastAsia" w:ascii="Times New Roman" w:hAnsi="Times New Roman" w:eastAsia="仿宋_GB2312" w:cs="Times New Roman"/>
          <w:sz w:val="32"/>
          <w:szCs w:val="32"/>
          <w:lang w:val="en-US" w:eastAsia="zh-CN"/>
        </w:rPr>
        <w:t>”增加“</w:t>
      </w:r>
      <w:r>
        <w:rPr>
          <w:rFonts w:hint="default" w:ascii="Times New Roman" w:hAnsi="Times New Roman" w:eastAsia="仿宋_GB2312" w:cs="Times New Roman"/>
          <w:sz w:val="32"/>
          <w:szCs w:val="32"/>
          <w:lang w:val="en-US" w:eastAsia="zh-CN"/>
        </w:rPr>
        <w:t>所需资金在风险补偿资金产生利息中安排。</w:t>
      </w:r>
      <w:r>
        <w:rPr>
          <w:rFonts w:hint="eastAsia" w:ascii="Times New Roman" w:hAnsi="Times New Roman" w:eastAsia="仿宋_GB2312" w:cs="Times New Roman"/>
          <w:sz w:val="32"/>
          <w:szCs w:val="32"/>
          <w:lang w:val="en-US" w:eastAsia="zh-CN"/>
        </w:rPr>
        <w:t>”</w:t>
      </w:r>
    </w:p>
    <w:p>
      <w:pPr>
        <w:pageBreakBefore w:val="0"/>
        <w:widowControl w:val="0"/>
        <w:kinsoku/>
        <w:wordWrap/>
        <w:overflowPunct/>
        <w:topLinePunct w:val="0"/>
        <w:autoSpaceDE/>
        <w:autoSpaceDN/>
        <w:bidi w:val="0"/>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章“合作金融机构选择、资金分配、存管和退出”，规定由资金管理人引入创新竞争机制筛选合作金融机构、按风险补偿资金考核结果分配存管风险补偿资金；明确合作机构必须具备的条件、申请和确定程序、整改、退出情形等。</w:t>
      </w:r>
    </w:p>
    <w:p>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cs="Times New Roman"/>
          <w:sz w:val="32"/>
          <w:szCs w:val="32"/>
          <w:lang w:val="en-US" w:eastAsia="zh-CN"/>
        </w:rPr>
        <w:t>删除原《办法》</w:t>
      </w:r>
      <w:r>
        <w:rPr>
          <w:rFonts w:hint="default" w:ascii="Times New Roman" w:hAnsi="Times New Roman" w:eastAsia="仿宋_GB2312" w:cs="Times New Roman"/>
          <w:sz w:val="32"/>
          <w:szCs w:val="32"/>
          <w:lang w:val="en-US" w:eastAsia="zh-CN"/>
        </w:rPr>
        <w:t>第十一条　</w:t>
      </w:r>
      <w:r>
        <w:rPr>
          <w:rFonts w:hint="eastAsia" w:ascii="Times New Roman" w:hAnsi="Times New Roman" w:eastAsia="仿宋_GB2312" w:cs="Times New Roman"/>
          <w:sz w:val="32"/>
          <w:szCs w:val="32"/>
          <w:lang w:val="en-US" w:eastAsia="zh-CN"/>
        </w:rPr>
        <w:t>第</w:t>
      </w:r>
      <w:r>
        <w:rPr>
          <w:rFonts w:hint="default" w:ascii="Times New Roman" w:hAnsi="Times New Roman" w:eastAsia="仿宋_GB2312" w:cs="Times New Roman"/>
          <w:sz w:val="32"/>
          <w:szCs w:val="32"/>
          <w:lang w:val="en-US" w:eastAsia="zh-CN"/>
        </w:rPr>
        <w:t>（三）承诺对符合条件的企业、社会团体或其他组织的贷款规模为基础信贷风险补偿资金总额的10倍（含）以上。</w:t>
      </w:r>
    </w:p>
    <w:p>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第十六条　风险补偿资金合作金融机构的退出。合作金融机构出现以下情形之一的，应进行整改，整改后未能达到要求的，不再合作：</w:t>
      </w:r>
    </w:p>
    <w:p>
      <w:pPr>
        <w:keepNext w:val="0"/>
        <w:keepLines w:val="0"/>
        <w:pageBreakBefore w:val="0"/>
        <w:widowControl w:val="0"/>
        <w:kinsoku/>
        <w:wordWrap/>
        <w:overflowPunct/>
        <w:topLinePunct w:val="0"/>
        <w:autoSpaceDE/>
        <w:autoSpaceDN/>
        <w:bidi w:val="0"/>
        <w:adjustRightInd w:val="0"/>
        <w:snapToGrid w:val="0"/>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单一季度没有发放贷款</w:t>
      </w:r>
      <w:r>
        <w:rPr>
          <w:rFonts w:hint="eastAsia" w:ascii="仿宋_GB2312" w:hAnsi="仿宋_GB2312" w:cs="仿宋_GB2312"/>
          <w:sz w:val="32"/>
          <w:szCs w:val="32"/>
          <w:lang w:eastAsia="zh-CN"/>
        </w:rPr>
        <w:t>”修改为</w:t>
      </w:r>
      <w:r>
        <w:rPr>
          <w:rFonts w:hint="eastAsia" w:ascii="仿宋_GB2312" w:hAnsi="仿宋_GB2312" w:cs="仿宋_GB2312"/>
          <w:color w:val="auto"/>
          <w:sz w:val="32"/>
          <w:szCs w:val="32"/>
          <w:lang w:eastAsia="zh-CN"/>
        </w:rPr>
        <w:t>“</w:t>
      </w:r>
      <w:r>
        <w:rPr>
          <w:rFonts w:hint="eastAsia" w:ascii="仿宋_GB2312" w:hAnsi="仿宋_GB2312" w:eastAsia="仿宋_GB2312" w:cs="仿宋_GB2312"/>
          <w:sz w:val="32"/>
          <w:szCs w:val="32"/>
        </w:rPr>
        <w:t>单一季度没有发放</w:t>
      </w:r>
      <w:r>
        <w:rPr>
          <w:rFonts w:hint="eastAsia" w:ascii="仿宋_GB2312" w:hAnsi="仿宋_GB2312" w:cs="仿宋_GB2312"/>
          <w:sz w:val="32"/>
          <w:szCs w:val="32"/>
          <w:lang w:eastAsia="zh-CN"/>
        </w:rPr>
        <w:t>知识产权质押融资</w:t>
      </w:r>
      <w:r>
        <w:rPr>
          <w:rFonts w:hint="eastAsia" w:ascii="仿宋_GB2312" w:hAnsi="仿宋_GB2312" w:eastAsia="仿宋_GB2312" w:cs="仿宋_GB2312"/>
          <w:sz w:val="32"/>
          <w:szCs w:val="32"/>
        </w:rPr>
        <w:t>贷款</w:t>
      </w:r>
      <w:r>
        <w:rPr>
          <w:rFonts w:hint="eastAsia" w:ascii="仿宋_GB2312" w:hAnsi="仿宋_GB2312" w:eastAsia="仿宋_GB2312" w:cs="仿宋_GB2312"/>
          <w:color w:val="auto"/>
          <w:sz w:val="32"/>
          <w:szCs w:val="32"/>
          <w:lang w:eastAsia="zh-CN"/>
        </w:rPr>
        <w:t>或授信</w:t>
      </w:r>
      <w:r>
        <w:rPr>
          <w:rFonts w:hint="eastAsia" w:ascii="仿宋_GB2312" w:hAnsi="仿宋_GB2312" w:cs="仿宋_GB2312"/>
          <w:color w:val="auto"/>
          <w:sz w:val="32"/>
          <w:szCs w:val="32"/>
          <w:lang w:eastAsia="zh-CN"/>
        </w:rPr>
        <w:t>”</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val="0"/>
        <w:snapToGrid w:val="0"/>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一个年度内发放的贷款累计金额少于合作协议签订金额</w:t>
      </w:r>
      <w:r>
        <w:rPr>
          <w:rFonts w:hint="eastAsia" w:ascii="仿宋_GB2312" w:hAnsi="仿宋_GB2312" w:cs="仿宋_GB2312"/>
          <w:sz w:val="32"/>
          <w:szCs w:val="32"/>
          <w:lang w:eastAsia="zh-CN"/>
        </w:rPr>
        <w:t>”修改为</w:t>
      </w:r>
      <w:r>
        <w:rPr>
          <w:rFonts w:hint="eastAsia" w:ascii="仿宋_GB2312" w:hAnsi="仿宋_GB2312" w:cs="仿宋_GB2312"/>
          <w:color w:val="auto"/>
          <w:sz w:val="32"/>
          <w:szCs w:val="32"/>
          <w:lang w:eastAsia="zh-CN"/>
        </w:rPr>
        <w:t>“</w:t>
      </w:r>
      <w:r>
        <w:rPr>
          <w:rFonts w:hint="eastAsia" w:ascii="仿宋_GB2312" w:hAnsi="仿宋_GB2312" w:eastAsia="仿宋_GB2312" w:cs="仿宋_GB2312"/>
          <w:sz w:val="32"/>
          <w:szCs w:val="32"/>
        </w:rPr>
        <w:t>一个年度内发放</w:t>
      </w:r>
      <w:r>
        <w:rPr>
          <w:rFonts w:hint="eastAsia" w:ascii="仿宋_GB2312" w:hAnsi="仿宋_GB2312" w:cs="仿宋_GB2312"/>
          <w:sz w:val="32"/>
          <w:szCs w:val="32"/>
          <w:lang w:eastAsia="zh-CN"/>
        </w:rPr>
        <w:t>知识产权质押融资</w:t>
      </w:r>
      <w:r>
        <w:rPr>
          <w:rFonts w:hint="eastAsia" w:ascii="仿宋_GB2312" w:hAnsi="仿宋_GB2312" w:eastAsia="仿宋_GB2312" w:cs="仿宋_GB2312"/>
          <w:sz w:val="32"/>
          <w:szCs w:val="32"/>
        </w:rPr>
        <w:t>贷款</w:t>
      </w:r>
      <w:r>
        <w:rPr>
          <w:rFonts w:hint="eastAsia" w:ascii="仿宋_GB2312" w:hAnsi="仿宋_GB2312" w:eastAsia="仿宋_GB2312" w:cs="仿宋_GB2312"/>
          <w:color w:val="auto"/>
          <w:sz w:val="32"/>
          <w:szCs w:val="32"/>
          <w:lang w:eastAsia="zh-CN"/>
        </w:rPr>
        <w:t>或授信</w:t>
      </w:r>
      <w:r>
        <w:rPr>
          <w:rFonts w:hint="eastAsia" w:ascii="仿宋_GB2312" w:hAnsi="仿宋_GB2312" w:eastAsia="仿宋_GB2312" w:cs="仿宋_GB2312"/>
          <w:sz w:val="32"/>
          <w:szCs w:val="32"/>
        </w:rPr>
        <w:t>累计金额少于合作协议签订金额。</w:t>
      </w:r>
      <w:r>
        <w:rPr>
          <w:rFonts w:hint="eastAsia" w:ascii="仿宋_GB2312" w:hAnsi="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（三）发生坏账代偿情况。</w:t>
      </w:r>
    </w:p>
    <w:p>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章“项目办理”，规定合作银行可以采取组合担保方式发放贷款，风险补偿资金只对专利、商标等知识产权质押贷款金额提供风险补偿；明确同一企业每年可申请的知识产权质押贷款金额和期限；明确知识产权质押贷款申办程序和风险承担责任。</w:t>
      </w:r>
    </w:p>
    <w:p>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eastAsia" w:cs="Times New Roman"/>
          <w:sz w:val="32"/>
          <w:szCs w:val="32"/>
          <w:lang w:val="en-US" w:eastAsia="zh-CN"/>
        </w:rPr>
      </w:pPr>
      <w:r>
        <w:rPr>
          <w:rFonts w:hint="eastAsia" w:cs="Times New Roman"/>
          <w:sz w:val="32"/>
          <w:szCs w:val="32"/>
          <w:lang w:val="en-US" w:eastAsia="zh-CN"/>
        </w:rPr>
        <w:t>第十九条 同一企业、社会团体或其他组织每年可申请1笔风险补偿资金，该笔风险补偿资金对应支持知识产权质押融资贷款金额不超过500万元。删除“每年可申请1笔风险补偿资金”因为实际操作中该主体可以用不同知识产权在不同银行质押登记，为保障更多主体可以享受风险补偿金贷款，只限制主体每年可申请的额度不超过500万元。修改后表述为“同一企业、社会团体或其他组织申请风险补偿资金对应支持知识产权质押融资贷款金额每年不超过 500 万元。”</w:t>
      </w:r>
    </w:p>
    <w:p>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default"/>
          <w:lang w:val="en-US" w:eastAsia="zh-CN"/>
        </w:rPr>
      </w:pPr>
      <w:r>
        <w:rPr>
          <w:rFonts w:hint="eastAsia" w:ascii="仿宋_GB2312" w:hAnsi="仿宋_GB2312" w:eastAsia="仿宋_GB2312" w:cs="仿宋_GB2312"/>
          <w:sz w:val="32"/>
          <w:szCs w:val="32"/>
        </w:rPr>
        <w:t>第二十条　知识产权质押贷款申办程序：</w:t>
      </w:r>
      <w:r>
        <w:rPr>
          <w:rFonts w:hint="eastAsia" w:ascii="仿宋_GB2312" w:hAnsi="仿宋_GB2312" w:eastAsia="仿宋_GB2312" w:cs="仿宋_GB2312"/>
          <w:sz w:val="32"/>
          <w:szCs w:val="32"/>
          <w:lang w:eastAsia="zh-CN"/>
        </w:rPr>
        <w:t>（一）企业、社会团体或其他组织申请。资金管理机构常年接受企业、社会团体或其他组织知识产权质押贷款风险补偿资金项目申请，企业、社会团体或其他组织申请贷款应按要求向资金管理机构提交申报书等相关申报材料</w:t>
      </w:r>
      <w:r>
        <w:rPr>
          <w:rFonts w:hint="eastAsia" w:ascii="仿宋_GB2312" w:hAnsi="仿宋_GB2312" w:cs="仿宋_GB2312"/>
          <w:sz w:val="32"/>
          <w:szCs w:val="32"/>
          <w:lang w:eastAsia="zh-CN"/>
        </w:rPr>
        <w:t>。增加</w:t>
      </w:r>
      <w:r>
        <w:rPr>
          <w:rFonts w:hint="eastAsia" w:ascii="仿宋_GB2312" w:hAnsi="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资金管理机构对申报材料进行审核，并向资金管理领导小组报备</w:t>
      </w:r>
      <w:r>
        <w:rPr>
          <w:rFonts w:hint="eastAsia" w:ascii="仿宋_GB2312" w:hAnsi="仿宋_GB2312" w:cs="仿宋_GB2312"/>
          <w:color w:val="auto"/>
          <w:sz w:val="32"/>
          <w:szCs w:val="32"/>
          <w:lang w:val="en-US" w:eastAsia="zh-CN"/>
        </w:rPr>
        <w:t>”。</w:t>
      </w:r>
    </w:p>
    <w:p>
      <w:pPr>
        <w:pageBreakBefore w:val="0"/>
        <w:widowControl w:val="0"/>
        <w:kinsoku/>
        <w:wordWrap/>
        <w:overflowPunct/>
        <w:topLinePunct w:val="0"/>
        <w:autoSpaceDE/>
        <w:autoSpaceDN/>
        <w:bidi w:val="0"/>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第五章“补偿与核销管理”，规定对企业还贷能力出现问题可以采取的处置措施；明确风险补偿资金的确定、承担和拨付程序；明确风险代偿的工作程序。</w:t>
      </w:r>
    </w:p>
    <w:p>
      <w:pPr>
        <w:pageBreakBefore w:val="0"/>
        <w:widowControl w:val="0"/>
        <w:kinsoku/>
        <w:wordWrap/>
        <w:overflowPunct/>
        <w:topLinePunct w:val="0"/>
        <w:autoSpaceDE/>
        <w:autoSpaceDN/>
        <w:bidi w:val="0"/>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第六章“监督管理”，明确风险补偿资金必须专款专用,禁止任何部门和单位截留、挪用；明确管理委员会、资金管理人、相关合作机构三方在的风险补偿资金监管中的权利和义务。</w:t>
      </w:r>
    </w:p>
    <w:p>
      <w:pPr>
        <w:pageBreakBefore w:val="0"/>
        <w:widowControl w:val="0"/>
        <w:kinsoku/>
        <w:wordWrap/>
        <w:overflowPunct/>
        <w:topLinePunct w:val="0"/>
        <w:autoSpaceDE/>
        <w:autoSpaceDN/>
        <w:bidi w:val="0"/>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第七章“附则”，明确本办法的解释权和有效期限。</w:t>
      </w:r>
    </w:p>
    <w:p>
      <w:pPr>
        <w:keepNext w:val="0"/>
        <w:keepLines w:val="0"/>
        <w:pageBreakBefore w:val="0"/>
        <w:widowControl w:val="0"/>
        <w:kinsoku/>
        <w:wordWrap/>
        <w:overflowPunct/>
        <w:topLinePunct w:val="0"/>
        <w:autoSpaceDE/>
        <w:autoSpaceDN/>
        <w:bidi w:val="0"/>
        <w:spacing w:line="578" w:lineRule="exact"/>
        <w:textAlignment w:val="auto"/>
      </w:pPr>
    </w:p>
    <w:sectPr>
      <w:pgSz w:w="11906" w:h="16838"/>
      <w:pgMar w:top="1417" w:right="1417" w:bottom="1417"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0AFF" w:usb1="00007843" w:usb2="00000001" w:usb3="00000000" w:csb0="400001BF" w:csb1="DFF7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仿宋简体">
    <w:panose1 w:val="02000000000000000000"/>
    <w:charset w:val="86"/>
    <w:family w:val="auto"/>
    <w:pitch w:val="default"/>
    <w:sig w:usb0="A00002BF" w:usb1="184F6CFA" w:usb2="00000012"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9DB1B2A"/>
    <w:multiLevelType w:val="multilevel"/>
    <w:tmpl w:val="79DB1B2A"/>
    <w:lvl w:ilvl="0" w:tentative="0">
      <w:start w:val="1"/>
      <w:numFmt w:val="decimal"/>
      <w:pStyle w:val="2"/>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DF4187"/>
    <w:rsid w:val="09A15C85"/>
    <w:rsid w:val="240A10E9"/>
    <w:rsid w:val="263C1638"/>
    <w:rsid w:val="2CC70108"/>
    <w:rsid w:val="347854D0"/>
    <w:rsid w:val="55EE06D6"/>
    <w:rsid w:val="59326D11"/>
    <w:rsid w:val="5AE35BC3"/>
    <w:rsid w:val="631D196F"/>
    <w:rsid w:val="6AA858C3"/>
    <w:rsid w:val="6B3D7C7E"/>
    <w:rsid w:val="76C735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3"/>
    <w:basedOn w:val="1"/>
    <w:next w:val="1"/>
    <w:unhideWhenUsed/>
    <w:qFormat/>
    <w:uiPriority w:val="9"/>
    <w:pPr>
      <w:keepNext/>
      <w:keepLines/>
      <w:numPr>
        <w:ilvl w:val="0"/>
        <w:numId w:val="1"/>
      </w:numPr>
      <w:outlineLvl w:val="2"/>
    </w:pPr>
    <w:rPr>
      <w:rFonts w:ascii="Calibri" w:hAnsi="Calibri" w:eastAsia="宋体" w:cs="Times New Roman"/>
      <w:b/>
      <w:bCs/>
      <w:sz w:val="21"/>
      <w:szCs w:val="32"/>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2025-12-02T08:07:00Z</dcterms:created>
  <dc:creator>a1</dc:creator>
  <cp:lastModifiedBy>陈慕嘉</cp:lastModifiedBy>
  <dcterms:modified xsi:type="dcterms:W3CDTF">2026-05-12T03:06:09Z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EA6B8047062644F98DD6BFED0D41585A</vt:lpwstr>
  </property>
</Properties>
</file>