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汕头市澄海区星迪加玩具厂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3007-4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2025年7月5日-2025年7月15日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（2025）0701-02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511810</wp:posOffset>
                  </wp:positionV>
                  <wp:extent cx="2832735" cy="1870710"/>
                  <wp:effectExtent l="0" t="0" r="5715" b="152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未拼装的多关节可动骷髅人偶模型套件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属于解压拼装玩具。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磁体或磁体部件是小零件，最大磁通量指数超出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GB6675.2-2014标准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限值。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如果儿童误吞，可能造成窒息、肠穿孔或肠梗阻等伤害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消费者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立即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暂停使用有缺陷的产品，马上联系公司或经销商进行退货处理。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1.联系销售商立即停止销售并下架该产品，对库存产品进行退货；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在我司门口及销售商实体店铺或电商网上店铺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布召回公告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告知消费者相关事宜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3.接受消费者咨询，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为购买到缺陷产品的消费者免费更换一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全新的符合安全要求的产品或退货处理。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汕头市澄海区星迪加玩具厂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召回联系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热线: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13428303737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日到2026年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日（具体以实施进度安排为主）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相关用户也可以登录汕头市市场监督管理局网站“政务公开—重点领域信息公开—产品质量信息”栏目，或拨打汕头市市场监督管理局缺陷产品召回工作联系电话（0754—885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BC4875"/>
    <w:rsid w:val="00D03EE7"/>
    <w:rsid w:val="00E16854"/>
    <w:rsid w:val="00EB26B6"/>
    <w:rsid w:val="00EF6ADE"/>
    <w:rsid w:val="00F40154"/>
    <w:rsid w:val="00F8428F"/>
    <w:rsid w:val="062A26A5"/>
    <w:rsid w:val="06BD5DFB"/>
    <w:rsid w:val="0CD56AA4"/>
    <w:rsid w:val="10A03235"/>
    <w:rsid w:val="1C2C5C99"/>
    <w:rsid w:val="21F2609D"/>
    <w:rsid w:val="33563F76"/>
    <w:rsid w:val="34303531"/>
    <w:rsid w:val="3C8A2E53"/>
    <w:rsid w:val="71174D3D"/>
    <w:rsid w:val="721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539</Words>
  <Characters>590</Characters>
  <Lines>5</Lines>
  <Paragraphs>1</Paragraphs>
  <TotalTime>2</TotalTime>
  <ScaleCrop>false</ScaleCrop>
  <LinksUpToDate>false</LinksUpToDate>
  <CharactersWithSpaces>592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dcterms:modified xsi:type="dcterms:W3CDTF">2026-04-22T07:13:40Z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28EB88D3ABCE482FB0C08F443DC30042_13</vt:lpwstr>
  </property>
  <property fmtid="{D5CDD505-2E9C-101B-9397-08002B2CF9AE}" pid="4" name="KSOTemplateDocerSaveRecord">
    <vt:lpwstr>eyJoZGlkIjoiMmEyYjU3MDI5ODBlY2U3YjFmNDczNWIwYjEyNTMzZDgiLCJ1c2VySWQiOiIxMTQzNTE1MTI4In0=</vt:lpwstr>
  </property>
</Properties>
</file>