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917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广东合翔鑫玩具有限公司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合翔益智玩具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72套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HX11311螃蟹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2025年6月15日-2025年6月25日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（2025）0601-02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益智玩具</w:t>
            </w:r>
          </w:p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3810</wp:posOffset>
                  </wp:positionV>
                  <wp:extent cx="2015490" cy="1473200"/>
                  <wp:effectExtent l="0" t="0" r="3810" b="12700"/>
                  <wp:wrapNone/>
                  <wp:docPr id="1" name="图片 1" descr="1-4.认证机构备案产品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-4.认证机构备案产品图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5490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bookmarkStart w:id="0" w:name="_Hlk225367829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玩具上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绳索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或弹性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自由长度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大于等于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0</w:t>
            </w:r>
            <w:bookmarkStart w:id="1" w:name="_Hlk225366826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mm</w:t>
            </w:r>
            <w:bookmarkEnd w:id="1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或连接有可能使其缠绕形成活套或固定环的附件，不符合GB6675.2-2014标准的要求；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2.玩具上的绳索/弹性绳或多段绳/弹性绳能与玩具任一部分缠绕形成活套或固定环，其周长大于等于36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0mm,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不符合GB6675.2-2014标准的要求。</w:t>
            </w:r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绳索一旦被套在儿童颈部，可能导致缠绕勒死危险。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消费者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立即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暂停使用有缺陷的产品，马上联系公司或经销商进行处理。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1.联系销售商立即停止销售并下架该产品，对库存产品进行退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司门口及销售商实体店铺或电商网上店铺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发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布召回公告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告知消费者相关事宜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；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3.接受消费者咨询，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为购买到缺陷产品的消费者免费更换一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全新的符合安全要求的产品或退货处理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广东合翔鑫玩具有限公司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召回热线电话: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0754-86988998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集中召回时间计划在2026年4月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日至2026年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5日（具体以实施进度安排为主）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无。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相关用户也可以登录汕头市市场监督管理局网站“政务公开—重点领域信息公开—产品质量信息”栏目，或拨打汕头市市场监督管理局缺陷产品召回工作联系电话（0754—885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56407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245D27"/>
    <w:rsid w:val="00310467"/>
    <w:rsid w:val="00381FCB"/>
    <w:rsid w:val="003E389C"/>
    <w:rsid w:val="003F117F"/>
    <w:rsid w:val="00514E65"/>
    <w:rsid w:val="00647866"/>
    <w:rsid w:val="006E1CCE"/>
    <w:rsid w:val="00754746"/>
    <w:rsid w:val="00786999"/>
    <w:rsid w:val="007E05D8"/>
    <w:rsid w:val="008E7C24"/>
    <w:rsid w:val="00A52C30"/>
    <w:rsid w:val="00D03EE7"/>
    <w:rsid w:val="00E16854"/>
    <w:rsid w:val="00EF6ADE"/>
    <w:rsid w:val="01EF20C6"/>
    <w:rsid w:val="06BD5DFB"/>
    <w:rsid w:val="0E1E7AC7"/>
    <w:rsid w:val="0F7A2A93"/>
    <w:rsid w:val="10A03235"/>
    <w:rsid w:val="1467559B"/>
    <w:rsid w:val="1C2C5C99"/>
    <w:rsid w:val="271E19A1"/>
    <w:rsid w:val="2B2142FB"/>
    <w:rsid w:val="366307B0"/>
    <w:rsid w:val="4F727617"/>
    <w:rsid w:val="50BD2DA3"/>
    <w:rsid w:val="71174D3D"/>
    <w:rsid w:val="72074D8B"/>
    <w:rsid w:val="73EB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581</Words>
  <Characters>643</Characters>
  <Lines>12</Lines>
  <Paragraphs>41</Paragraphs>
  <TotalTime>2</TotalTime>
  <ScaleCrop>false</ScaleCrop>
  <LinksUpToDate>false</LinksUpToDate>
  <CharactersWithSpaces>644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彭泽潜</cp:lastModifiedBy>
  <dcterms:modified xsi:type="dcterms:W3CDTF">2026-04-21T09:01:55Z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92153379D9AF4E0E83F45DB94D590615_12</vt:lpwstr>
  </property>
  <property fmtid="{D5CDD505-2E9C-101B-9397-08002B2CF9AE}" pid="4" name="KSOTemplateDocerSaveRecord">
    <vt:lpwstr>eyJoZGlkIjoiOTRiOTNkNDRjODA5NDBkNTkyYTY0ZTFjYjFlZDE2ODAiLCJ1c2VySWQiOiI2ODI1NTAzOTQifQ==</vt:lpwstr>
  </property>
</Properties>
</file>