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汕头市光动智能玩具有限公司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迷你大喇叭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连罡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5744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333-2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6209510501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迷你喇叭，主体颜色白色跟红色/蓝色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76835</wp:posOffset>
                  </wp:positionV>
                  <wp:extent cx="986790" cy="943610"/>
                  <wp:effectExtent l="0" t="0" r="3810" b="8890"/>
                  <wp:wrapNone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  <w:lang w:val="en-US" w:eastAsia="zh-CN" w:bidi="ar"/>
              </w:rPr>
              <w:t>用于包装</w:t>
            </w: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  <w:lang w:val="en-US" w:eastAsia="zh-CN" w:bidi="ar"/>
              </w:rPr>
              <w:t>玩具中的塑料袋</w:t>
            </w: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或塑料薄膜的厚度不足，且未按照GB6675.2-2014标准要求进行打孔。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一旦覆盖在儿童脸部，容易粘附儿童口鼻，可能导致窒息危险。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汕头市光动智能玩具有限公司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0754-85882689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NjJlZTU0ZWJkMGNiMzZkOGI0M2FlZTRjOTIzZTI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5294821"/>
    <w:rsid w:val="06BD5DFB"/>
    <w:rsid w:val="0C2B75EC"/>
    <w:rsid w:val="105E7A6D"/>
    <w:rsid w:val="10A03235"/>
    <w:rsid w:val="1C2C5C99"/>
    <w:rsid w:val="2B1263DD"/>
    <w:rsid w:val="3311316D"/>
    <w:rsid w:val="36210964"/>
    <w:rsid w:val="63E909F4"/>
    <w:rsid w:val="71174D3D"/>
    <w:rsid w:val="716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429</Words>
  <Characters>493</Characters>
  <Lines>1</Lines>
  <Paragraphs>1</Paragraphs>
  <TotalTime>3</TotalTime>
  <ScaleCrop>false</ScaleCrop>
  <LinksUpToDate>false</LinksUpToDate>
  <CharactersWithSpaces>493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2026-02-03T10:10:06Z</cp:lastPrinted>
  <dcterms:modified xsi:type="dcterms:W3CDTF">2026-02-03T10:12:31Z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904D68C0D7084ABBB56D8CAE8F3034DF</vt:lpwstr>
  </property>
  <property fmtid="{D5CDD505-2E9C-101B-9397-08002B2CF9AE}" pid="4" name="KSOTemplateDocerSaveRecord">
    <vt:lpwstr>eyJoZGlkIjoiMDY5ZGZlZTkzMzkxOTRhZmU3ODJjZWVmOWQ0YmZkOGUifQ==</vt:lpwstr>
  </property>
</Properties>
</file>