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hint="default" w:eastAsia="方正小标宋简体"/>
          <w:color w:val="000000"/>
          <w:kern w:val="0"/>
          <w:sz w:val="44"/>
          <w:szCs w:val="44"/>
        </w:rPr>
        <w:t>汕头市当代水墨研究院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，检查组对汕头市当代水墨研究院进行了双随机检查，检查情况如下：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汕头市当代水墨研究院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统一社会信用代码：52440500MJL503131P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：汕头市龙湖区珠池路63号701号房102室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陈振楷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捌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业务主管单位：汕头市文化广电旅游体育局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业务范围：搭建研究中国水墨画艺术发展历史，弘扬改革创新精神，探索水墨画学术平台。举办艺术作品展览观摩和交流，学术研讨、展览、搜集整理潮汕等地的文化遗产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开展美术作品创作，举办艺术作品交流活动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lang w:val="en-US" w:eastAsia="zh-CN"/>
        </w:rPr>
        <w:t>场地设施不规范</w:t>
      </w:r>
      <w:r>
        <w:rPr>
          <w:rFonts w:hint="eastAsia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财务凭证要素和财务核算不规范</w:t>
      </w:r>
      <w:r>
        <w:rPr>
          <w:rFonts w:hint="eastAsia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1.规范社会组织办公场地；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cs="Times New Roman"/>
          <w:lang w:val="en-US" w:eastAsia="zh-CN"/>
        </w:rPr>
        <w:t>2.按照《民间非营利组织会计制度》制定完善本单位财务管理制度，规范财务账本账册，在本次检查基础上，举一反三，进行全面自我核查，及时补齐财务凭证要素，纠正有关问题，重大开支需落实民主决策制度、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2231"/>
    <w:rsid w:val="1BA1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2026-02-03T03:46:00Z</dcterms:created>
  <dc:creator>Administrator</dc:creator>
  <cp:lastModifiedBy>Administrator</cp:lastModifiedBy>
  <dcterms:modified xsi:type="dcterms:W3CDTF">2026-02-03T03:46:35Z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1731A6F96D92478DB74AFBFD1337FE42</vt:lpwstr>
  </property>
</Properties>
</file>