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color w:val="000000"/>
          <w:kern w:val="0"/>
          <w:sz w:val="44"/>
          <w:szCs w:val="44"/>
          <w:lang w:eastAsia="zh-CN"/>
        </w:rPr>
      </w:pPr>
      <w:r>
        <w:rPr>
          <w:rFonts w:eastAsia="方正小标宋简体"/>
          <w:color w:val="000000"/>
          <w:kern w:val="0"/>
          <w:sz w:val="44"/>
          <w:szCs w:val="44"/>
        </w:rPr>
        <w:t>关于</w:t>
      </w:r>
      <w:bookmarkStart w:id="0" w:name="_GoBack"/>
      <w:r>
        <w:rPr>
          <w:rFonts w:hint="default" w:eastAsia="方正小标宋简体"/>
          <w:color w:val="000000"/>
          <w:kern w:val="0"/>
          <w:sz w:val="44"/>
          <w:szCs w:val="44"/>
        </w:rPr>
        <w:t>汕头市广睿职业培训学校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hint="eastAsia" w:eastAsia="方正小标宋简体"/>
          <w:color w:val="000000"/>
          <w:kern w:val="0"/>
          <w:sz w:val="44"/>
          <w:szCs w:val="44"/>
        </w:rPr>
        <w:t>双随机检查情况</w:t>
      </w:r>
    </w:p>
    <w:p>
      <w:pPr>
        <w:keepNext w:val="0"/>
        <w:keepLines w:val="0"/>
        <w:pageBreakBefore w:val="0"/>
        <w:widowControl/>
        <w:wordWrap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根据</w:t>
      </w:r>
      <w:r>
        <w:rPr>
          <w:rFonts w:hint="eastAsia" w:ascii="Times New Roman" w:hAnsi="Times New Roman" w:cs="Times New Roman"/>
          <w:lang w:eastAsia="zh-CN"/>
        </w:rPr>
        <w:t>《</w:t>
      </w:r>
      <w:r>
        <w:rPr>
          <w:rFonts w:hint="default" w:ascii="Times New Roman" w:hAnsi="Times New Roman" w:eastAsia="仿宋_GB2312" w:cs="Times New Roman"/>
          <w:lang w:eastAsia="zh-CN"/>
        </w:rPr>
        <w:t>汕头市民政局关于开展2025年市级社会组织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eastAsia="仿宋_GB2312" w:cs="Times New Roman"/>
          <w:lang w:eastAsia="zh-CN"/>
        </w:rPr>
        <w:t>双随机、一公开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eastAsia="仿宋_GB2312" w:cs="Times New Roman"/>
          <w:lang w:eastAsia="zh-CN"/>
        </w:rPr>
        <w:t>跨部门联合抽查工作的通知</w:t>
      </w:r>
      <w:r>
        <w:rPr>
          <w:rFonts w:hint="eastAsia" w:ascii="Times New Roman" w:hAnsi="Times New Roman" w:cs="Times New Roman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lang w:eastAsia="zh-CN"/>
        </w:rPr>
        <w:t>汕民通〔2025〕54号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eastAsia="仿宋_GB2312" w:cs="Times New Roman"/>
        </w:rPr>
        <w:t>，检查组对汕头市广睿职业培训学校进行了双随机检查，检查情况如下：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汕头市广睿职业培训学校</w:t>
      </w:r>
      <w:r>
        <w:rPr>
          <w:rFonts w:hint="eastAsia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  <w:lang w:eastAsia="zh-CN"/>
        </w:rPr>
        <w:t>统一社会信用代码：52440500MJL50226X0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cs="Times New Roman"/>
          <w:lang w:eastAsia="zh-CN"/>
        </w:rPr>
        <w:t>注册地址</w:t>
      </w:r>
      <w:r>
        <w:rPr>
          <w:rFonts w:hint="default" w:ascii="Times New Roman" w:hAnsi="Times New Roman" w:eastAsia="仿宋_GB2312" w:cs="Times New Roman"/>
          <w:lang w:eastAsia="zh-CN"/>
        </w:rPr>
        <w:t>：汕头高新区科技东路9号6A04之二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法定代表人：</w:t>
      </w:r>
      <w:r>
        <w:rPr>
          <w:rFonts w:hint="eastAsia" w:cs="Times New Roman"/>
          <w:lang w:eastAsia="zh-CN"/>
        </w:rPr>
        <w:t>姚宗生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ascii="Times New Roman" w:hAnsi="Times New Roman" w:eastAsia="仿宋_GB2312" w:cs="Times New Roman"/>
          <w:lang w:eastAsia="zh-CN"/>
        </w:rPr>
        <w:t>注册</w:t>
      </w:r>
      <w:r>
        <w:rPr>
          <w:rFonts w:hint="default" w:ascii="Times New Roman" w:hAnsi="Times New Roman" w:eastAsia="仿宋_GB2312" w:cs="Times New Roman"/>
          <w:lang w:eastAsia="zh-CN"/>
        </w:rPr>
        <w:t>资金：</w:t>
      </w:r>
      <w:r>
        <w:rPr>
          <w:rFonts w:hint="eastAsia" w:cs="Times New Roman"/>
          <w:lang w:eastAsia="zh-CN"/>
        </w:rPr>
        <w:t>五拾</w:t>
      </w:r>
      <w:r>
        <w:rPr>
          <w:rFonts w:hint="default" w:ascii="Times New Roman" w:hAnsi="Times New Roman" w:eastAsia="仿宋_GB2312" w:cs="Times New Roman"/>
          <w:lang w:eastAsia="zh-CN"/>
        </w:rPr>
        <w:t>万元整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cs="Times New Roman"/>
          <w:lang w:eastAsia="zh-CN"/>
        </w:rPr>
        <w:t>业务主管单位：汕头市人力资源和社会保障局。</w:t>
      </w:r>
      <w:r>
        <w:rPr>
          <w:rFonts w:hint="default" w:ascii="Times New Roman" w:hAnsi="Times New Roman" w:eastAsia="仿宋_GB2312" w:cs="Times New Roman"/>
          <w:lang w:eastAsia="zh-CN"/>
        </w:rPr>
        <w:t>业务范围：电子商务员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eastAsia="仿宋_GB2312" w:cs="Times New Roman"/>
          <w:lang w:eastAsia="zh-CN"/>
        </w:rPr>
        <w:t>国家职业资格四级）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eastAsia="仿宋_GB2312" w:cs="Times New Roman"/>
          <w:lang w:eastAsia="zh-CN"/>
        </w:rPr>
        <w:t>企业人力资源管理师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eastAsia="仿宋_GB2312" w:cs="Times New Roman"/>
          <w:lang w:eastAsia="zh-CN"/>
        </w:rPr>
        <w:t>国家职业资格三级、四级）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eastAsia="仿宋_GB2312" w:cs="Times New Roman"/>
          <w:lang w:eastAsia="zh-CN"/>
        </w:rPr>
        <w:t>育婴员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eastAsia="仿宋_GB2312" w:cs="Times New Roman"/>
          <w:lang w:eastAsia="zh-CN"/>
        </w:rPr>
        <w:t>国家职业资格四级、五级）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eastAsia="仿宋_GB2312" w:cs="Times New Roman"/>
          <w:lang w:eastAsia="zh-CN"/>
        </w:rPr>
        <w:t>图形图像处理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eastAsia="仿宋_GB2312" w:cs="Times New Roman"/>
          <w:lang w:eastAsia="zh-CN"/>
        </w:rPr>
        <w:t>中级计算机信息高新技术）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eastAsia="仿宋_GB2312" w:cs="Times New Roman"/>
          <w:lang w:eastAsia="zh-CN"/>
        </w:rPr>
        <w:t>网店美工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default" w:ascii="Times New Roman" w:hAnsi="Times New Roman" w:eastAsia="仿宋_GB2312" w:cs="Times New Roman"/>
          <w:lang w:eastAsia="zh-CN"/>
        </w:rPr>
        <w:t>网商运营。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eastAsia" w:ascii="黑体" w:hAnsi="黑体" w:eastAsia="黑体" w:cs="黑体"/>
        </w:rPr>
        <w:t>二、</w:t>
      </w:r>
      <w:r>
        <w:rPr>
          <w:rFonts w:hint="eastAsia" w:ascii="黑体" w:hAnsi="黑体" w:eastAsia="黑体" w:cs="黑体"/>
          <w:lang w:eastAsia="zh-CN"/>
        </w:rPr>
        <w:t>存在问题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1.财务凭证要素不规范，大额开支审批手续不规范</w:t>
      </w:r>
      <w:r>
        <w:rPr>
          <w:rFonts w:hint="eastAsia" w:ascii="Times New Roman" w:hAnsi="Times New Roman" w:cs="Times New Roman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2.内控制度落实不严格。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三、</w:t>
      </w:r>
      <w:r>
        <w:rPr>
          <w:rFonts w:hint="default" w:ascii="Times New Roman" w:hAnsi="Times New Roman" w:eastAsia="黑体" w:cs="Times New Roman"/>
          <w:lang w:eastAsia="zh-CN"/>
        </w:rPr>
        <w:t>整改要求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1.按章程要求完善内部治理结构，规范召开理事会，严格落实内控制度；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2.规范财务账本账册，在本次检查基础上，举一反三，进行全面自我核查，及时补齐财务凭证要素，纠正有关问题，重大开支需落实民主决策制度，完善审核审批制度，规范审核审批手续。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054C5"/>
    <w:rsid w:val="7A50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240" w:lineRule="atLeast"/>
      <w:jc w:val="center"/>
    </w:pPr>
    <w:rPr>
      <w:rFonts w:eastAsia="仿宋_GB2312" w:cs="Times New Roman"/>
      <w:sz w:val="24"/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2026-02-03T03:43:00Z</dcterms:created>
  <dc:creator>Administrator</dc:creator>
  <cp:lastModifiedBy>Administrator</cp:lastModifiedBy>
  <dcterms:modified xsi:type="dcterms:W3CDTF">2026-02-03T03:43:58Z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43F2BA6A959942C1A88C3577D8C03301</vt:lpwstr>
  </property>
</Properties>
</file>