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65229">
      <w:pPr>
        <w:spacing w:line="560" w:lineRule="exact"/>
        <w:jc w:val="left"/>
        <w:rPr>
          <w:rFonts w:ascii="黑体" w:hAnsi="黑体" w:eastAsia="黑体" w:cs="黑体"/>
          <w:sz w:val="32"/>
          <w:szCs w:val="32"/>
        </w:rPr>
      </w:pPr>
    </w:p>
    <w:p w14:paraId="46C910B3">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汕头市福利彩票发行中心物业管理服务</w:t>
      </w:r>
    </w:p>
    <w:p w14:paraId="297DB6FD">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采购文件</w:t>
      </w:r>
    </w:p>
    <w:p w14:paraId="24BE823D">
      <w:pPr>
        <w:spacing w:line="560" w:lineRule="exact"/>
        <w:jc w:val="center"/>
        <w:rPr>
          <w:rFonts w:ascii="方正小标宋简体" w:hAnsi="方正小标宋简体" w:eastAsia="方正小标宋简体" w:cs="方正小标宋简体"/>
          <w:sz w:val="44"/>
          <w:szCs w:val="44"/>
        </w:rPr>
      </w:pPr>
    </w:p>
    <w:p w14:paraId="22C71A2B">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为维护好我福彩中心物业管理秩序和工作环境，保障物业管理服务工作稳定性和持续性，我福彩中心拟委托社会服务机构提供保安、清洁、绿化管养、公用设施管理等服务，现制定具体方案如下：</w:t>
      </w:r>
    </w:p>
    <w:p w14:paraId="6C78D2B4">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5DBF5187">
      <w:pPr>
        <w:spacing w:line="54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本项目为汕头市福利彩票发行福彩中心（以下简称“福彩中心”）2025年物业管理工作项目，</w:t>
      </w:r>
      <w:r>
        <w:rPr>
          <w:rFonts w:hint="eastAsia" w:ascii="仿宋" w:hAnsi="仿宋" w:eastAsia="仿宋" w:cs="仿宋"/>
          <w:sz w:val="32"/>
          <w:szCs w:val="32"/>
        </w:rPr>
        <w:t>需不少于3名保安员、2名保洁员提供对应物业管理服务。</w:t>
      </w:r>
    </w:p>
    <w:p w14:paraId="3FA4D292">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二、工作内容</w:t>
      </w:r>
    </w:p>
    <w:p w14:paraId="2EA16A89">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（一）保洁</w:t>
      </w:r>
    </w:p>
    <w:p w14:paraId="6986AAB8">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负责办公楼（区域）环境卫生与保洁管理。</w:t>
      </w:r>
    </w:p>
    <w:p w14:paraId="0B734D19">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每天至少1次对办公区域地面、墙面、公共设施进行日常清洁及消毒，保持门、窗、灯具、楼梯、消防器材、指示标语等表面干净无尘；及时清扫大楼内绿化区域、院墙外绿化带、停车场等，保持干净、无杂物、无积水等；对人员走动频繁之地，进行不间断的走动保洁；</w:t>
      </w:r>
    </w:p>
    <w:p w14:paraId="61B6ABF8">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2.每日至少清洁1次各楼层卫生间，保持地面、洁具、便器干净、无污渍、无积水；</w:t>
      </w:r>
    </w:p>
    <w:p w14:paraId="2271E733">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3.负责垃圾清运、处理。按垃圾分类管理要求，收集区域内垃圾，及时更换垃圾袋，定期清洁垃圾桶。及时进行垃圾清运，处理过程无散积垃圾、无异味；</w:t>
      </w:r>
    </w:p>
    <w:p w14:paraId="028DB97B">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4.配合做好迎检或福彩中心组织各项活动的清洁保洁工作。</w:t>
      </w:r>
    </w:p>
    <w:p w14:paraId="538756EC">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（二）保安</w:t>
      </w:r>
    </w:p>
    <w:p w14:paraId="172D8C45">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1.负责大门来访人员接待工作。对到访人员进行询问、证件检查、登记等，严格确认来访者身份和事由，通知相关对接部门；</w:t>
      </w:r>
    </w:p>
    <w:p w14:paraId="177FD2EC">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维持停车场秩序。指挥进入大院的车辆有序停放，遇大型活动积极疏导车辆，禁止无关车辆进入。确保车辆进出有记录，做好车辆排查，禁止来历不明车辆驶入；确保来福彩中心办事的站点人员、物流配送员、彩民等人员及福彩中心工作人员停车需求，24小时引导车辆有序停放，不能有投诉，若被投诉，当月考核及费用受到影响；</w:t>
      </w:r>
    </w:p>
    <w:p w14:paraId="7866E62C">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安全保卫工作。做好公共秩序管理，每日早晚巡视整个办公楼各楼层及大院各角落，实时监控办公区域安全状况，及时发现各种安全隐患，迅速有效处理突发事件；发现违法违章行为及时制止；负责福彩中心仓库安全（含彩票仓库、专用设备仓库若干个），若发生盗抢事故，需按责任按原价进行赔偿；</w:t>
      </w:r>
    </w:p>
    <w:p w14:paraId="07CD8664">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4.负责应急处置工作。遇突发事件沉着应对，及时采取有效行动，通知相关部门和人员；</w:t>
      </w:r>
    </w:p>
    <w:p w14:paraId="0B18DAF8">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5.做好门卫值班室和大门区域的卫生保洁工作。</w:t>
      </w:r>
    </w:p>
    <w:p w14:paraId="591C35F0">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6.提供《保安服务许可证》（提供证件复印件）或承诺接到中标通知书后一周内按《保安服务管理条例》的要求到公安机关备案自行招用保安（提供承诺函），否则视为自动放弃中标资格。</w:t>
      </w:r>
    </w:p>
    <w:p w14:paraId="1590EC53">
      <w:pPr>
        <w:pStyle w:val="10"/>
        <w:spacing w:line="360" w:lineRule="auto"/>
        <w:ind w:firstLine="643" w:firstLineChars="200"/>
        <w:jc w:val="both"/>
        <w:rPr>
          <w:rFonts w:hint="default" w:ascii="楷体_GB2312" w:hAnsi="楷体_GB2312" w:eastAsia="楷体_GB2312" w:cs="楷体_GB2312"/>
          <w:b/>
          <w:bCs/>
          <w:kern w:val="2"/>
          <w:sz w:val="32"/>
          <w:szCs w:val="32"/>
        </w:rPr>
      </w:pPr>
      <w:r>
        <w:rPr>
          <w:rFonts w:ascii="楷体_GB2312" w:hAnsi="楷体_GB2312" w:eastAsia="楷体_GB2312" w:cs="楷体_GB2312"/>
          <w:b/>
          <w:bCs/>
          <w:kern w:val="2"/>
          <w:sz w:val="32"/>
          <w:szCs w:val="32"/>
        </w:rPr>
        <w:t>（三）绿化养护管理</w:t>
      </w:r>
    </w:p>
    <w:p w14:paraId="55A85887">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1.根据福彩中心需求，对大院室内外公共地方绿化日常管养提供服务。</w:t>
      </w:r>
    </w:p>
    <w:p w14:paraId="1BF7CD77">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2.根据植物的生长习性和生长规律采取相应的作业方式（乔灌木：适时淋水、松土施肥、修剪、病虫害防治，去除枯枝杂叶等；草坪：定期修剪，生长三年后，每年打孔培沙，疏松枯草层）。</w:t>
      </w:r>
    </w:p>
    <w:p w14:paraId="36F2DE66">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3.专业的绿化管理，根据植物状况定期浇水，及时对高度3m内的绿化进行修剪枯枝、残技和养护树木、草坪、花卉、盆栽等，除杂草、除病虫害、防台风处理等执行专业的养护和管理工作。</w:t>
      </w:r>
    </w:p>
    <w:p w14:paraId="7D7B3329">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4.院内有乔木，如发生掉落枝叶等砸到停车或行人事故，由物业公司负全责。</w:t>
      </w:r>
    </w:p>
    <w:p w14:paraId="7D425AC2">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5.根据植物特性定期施肥，施用符合国家规范的肥料。</w:t>
      </w:r>
    </w:p>
    <w:p w14:paraId="7B393283">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6.按福彩中心需求完成树木、花卉移植，遇福彩中心内迎检或活动及时配合修剪花木等工作；</w:t>
      </w:r>
    </w:p>
    <w:p w14:paraId="3E30B7D2">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7.完成上级交付的其他工作。</w:t>
      </w:r>
    </w:p>
    <w:p w14:paraId="02CB65B8">
      <w:pPr>
        <w:spacing w:line="57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（四）公用设施管理</w:t>
      </w:r>
    </w:p>
    <w:p w14:paraId="6329503F">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1.建筑物日常巡管。每日对办公楼（区域）房屋完好和正常使用进行巡管，出现问题及时上报；</w:t>
      </w:r>
    </w:p>
    <w:p w14:paraId="68F39EB5">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共设备巡护。每日对福彩中心内门窗、锁具、照明设施巡查，发现故障及时上报；每日对给水系统进行检查巡视；及时发现并上报给排水系统故障；严格执行消防法规，及时检查消防设施设备，发现问题及时上报；对电梯进行日常检查，发现故障及时上报；</w:t>
      </w:r>
    </w:p>
    <w:p w14:paraId="51ED88D7">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3.快递收件区域管理。每日对快递架进行整理清洁，确保快件放置整齐。保管好代福彩中心签收的报刊、杂志、信件等。</w:t>
      </w:r>
    </w:p>
    <w:p w14:paraId="37575BF0">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物管范围内所有设备、设施的日常检查与维护,发现问题及时向福彩中心报告，保证福彩中心安全和环境秩序正常。项目暂无消防监控系统，物业公司负责日常消防设施巡查，发现异常立即报告福彩中心，福彩中心安排专业人员维修。若后续福彩中心增加消防系统且需专业维护，甲乙双方另行协商配备专业消防设施操作员等维护事宜并签补充协议，确保消防安全。</w:t>
      </w:r>
    </w:p>
    <w:p w14:paraId="41A97443">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（五）其他要求</w:t>
      </w:r>
    </w:p>
    <w:p w14:paraId="505BDF0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1.对进驻人员进行严格管理。落实值班制度，值班人员24小时在岗，有配套设备设施及劳保工具保管完好；</w:t>
      </w:r>
    </w:p>
    <w:p w14:paraId="364EACB2">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2..大院办公单位多，且有不同物业公司同时提供服务，情况复杂，建议对项目进行实地勘查，承接单位须自行负责对接、协调各单位、各物业公司工作，确保和谐；</w:t>
      </w:r>
    </w:p>
    <w:p w14:paraId="419A1B7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3.服务期内需给服务人员组织一次体检，并从签订合同当月起为派往我单位的服务人员购买商业意外保险；</w:t>
      </w:r>
    </w:p>
    <w:p w14:paraId="47E136F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4.两位保洁一位兼厨师，一位兼帮厨。</w:t>
      </w:r>
    </w:p>
    <w:p w14:paraId="6D8B99D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工作日职工的午餐，根据福彩中心餐标提供每周菜谱的荤素搭配和营养配比来供餐。在食材采购环节，如采购人需要委托厨师或帮厨进行采购，厨师或帮厨需严格按照采购人的标准和质量要求，前往采购人指定的超市或商店进行采购，并确保按月收集并提交采购发票和详细的购物明细清单给采购人验收所购菜品。同时，所有食材在入库前需经过严格的清洗流程，蔬菜需坚持“一浸二洗三清四查”的清洗标准，肉类等荤菜也需经过充分的清洗和处理，以确保食材的卫生安全，如因卫生问题或食材不新鲜导致用餐人员不适的，物业公司需视情况严重程度进行赔偿，并对相关人员进行人道主义赔偿。</w:t>
      </w:r>
    </w:p>
    <w:p w14:paraId="3288C53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厨房膳食加工制作任务和相关出品工作的协调，根据食堂用餐人数和餐费预算，合理进行食材采购，并严格控制菜品质量。厨师需精心筹划和定期更换菜单，同时积极研发新品种，以满足职工多样化的口味需求。在食材加工过程中，应严格遵守食品安全操作规范，确保食材的清洗、切割、烹饪等环节均符合卫生标准。</w:t>
      </w:r>
    </w:p>
    <w:p w14:paraId="6B766FB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（3）定期征求我福彩中心对菜品质量的意见和建议，及时响应并调整菜品，不断改善和提升菜肴质量，确保职工能够享受到美味可口的午餐。</w:t>
      </w:r>
    </w:p>
    <w:p w14:paraId="47E56C2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日常工作中，需确保厨房及就餐环境的清洁卫生，负责每日清理厨余垃圾，并严格遵守垃圾分类的相关规定。每周至少大清理1次厨房餐厅地面、餐桌餐椅、柜子备餐台等的台面柜门等，每天烹饪结束后对抽油烟机、煤气炉等设备进行清洗和养护，并对餐具进行消毒；同时，厨师和帮厨需保持个人卫生，穿戴整洁的工作服和口罩，确保食品加工过程中的卫生安全。</w:t>
      </w:r>
    </w:p>
    <w:p w14:paraId="1310C43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（5）所有从业人员必须依法取得相关的健康证明，并定期接受食品安全和卫生知识的培训，以确保具备从事食品加工工作的基本素质和技能。</w:t>
      </w:r>
    </w:p>
    <w:p w14:paraId="000D675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要重点关注用气用火安全。在食材加工和烹饪过程中，厨师和帮厨需严格遵守用气用火安全操作规程，确保燃气和火源的安全使用。特别是在使用燃气灶具时，应定期检查燃气管道和阀门是否漏气，确保无安全隐患。在用气用火过程中，厨师和帮厨应保持高度警惕，不得擅自离开岗位或疏忽大意。如发现燃气泄漏或火源异常，应立即采取应急措施，并及时报告相关管理人员‌；熟悉消防设施和器材的使用方法，以便在紧急情况下能够迅速应对‌。</w:t>
      </w:r>
    </w:p>
    <w:p w14:paraId="49AE798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（7）故意损坏餐具按价赔偿。‌</w:t>
      </w:r>
    </w:p>
    <w:p w14:paraId="0B854C7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为确保我福彩中心人员能够准时用餐，需确保随时有可应急的厨师待命。在厨师因故无法到岗时，能够迅速安排替代人员，确保食堂的正常运营和职工的用餐需求得到满足。同时，应建立健全的应急处理机制，以应对可能出现的各种突发情况。</w:t>
      </w:r>
    </w:p>
    <w:p w14:paraId="0FDA4BA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5.保密</w:t>
      </w:r>
    </w:p>
    <w:p w14:paraId="5B49A806">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（1）物业公司派驻员工入职前必须学习并严格遵守《中华人民共和国保守</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秘密法》，严格遵守福彩中心单位纪律制定、各项保密规定和本岗位保密规定。</w:t>
      </w:r>
    </w:p>
    <w:p w14:paraId="68CA1645">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（2）物业公司工作人员未</w:t>
      </w:r>
      <w:bookmarkStart w:id="0" w:name="_GoBack"/>
      <w:bookmarkEnd w:id="0"/>
      <w:r>
        <w:rPr>
          <w:rFonts w:hint="eastAsia" w:ascii="仿宋_GB2312" w:hAnsi="仿宋_GB2312" w:eastAsia="仿宋_GB2312" w:cs="仿宋_GB2312"/>
          <w:sz w:val="32"/>
          <w:szCs w:val="32"/>
        </w:rPr>
        <w:t>经允许不能擅自接受任何媒体的采访。不能将福彩中心单位内部的任何资料带出机关或以电子邮件的形式发出。</w:t>
      </w:r>
    </w:p>
    <w:p w14:paraId="5B4AD241">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（3）未经同意任何人严禁加配福彩中心单位及内部任何地方的钥匙。</w:t>
      </w:r>
    </w:p>
    <w:p w14:paraId="5AC8DD3A">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（4）重要部门、主要领导办公室指定专人进行清洁时，需福彩中心人员在场监督。</w:t>
      </w:r>
    </w:p>
    <w:p w14:paraId="37E7EDBB">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（5）清洁过程中未经允许不得将任何带字纸质以及电子文件做为垃圾丢弃。</w:t>
      </w:r>
    </w:p>
    <w:p w14:paraId="54667460">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（6）所有磁盘、带字纸张文件的处理必须经福彩中心各相关部门同意，严禁未经允许擅自将内部废纸变卖。</w:t>
      </w:r>
    </w:p>
    <w:p w14:paraId="2F3A0278">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（7）清洁过程中必须做到不该看的不看，不该听的不听，不该问的不问，不该说的不说。</w:t>
      </w:r>
    </w:p>
    <w:p w14:paraId="273D4DB3">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6.为保证项目无缝衔接，同等条件下应优先录取本项目原驻场专职服务人员。（提供承诺函）</w:t>
      </w:r>
    </w:p>
    <w:p w14:paraId="002FFD3A">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三、商务需求</w:t>
      </w:r>
    </w:p>
    <w:p w14:paraId="52D09270">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1.要在服务期内应指定一名项目负责人常驻我单位，保持与我福彩中心密切联系并保证承包区域的物业管理服务品质，出现问题应在15分钟内到达现场并进行处置；</w:t>
      </w:r>
    </w:p>
    <w:p w14:paraId="649C95E6">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2.因值夜班、安保工作及厨房工作需求，提供的物业服务人员，年龄必须在60周岁以下；</w:t>
      </w:r>
    </w:p>
    <w:p w14:paraId="4C53AA9B">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3.拟派厨师资格要求具有2年以上作为供餐人数在20人以上食堂厨师工作经验，工作经验提供项目业主证明文件加盖福彩中心单位公章，或履历表加盖投标人公章;如有职称提供相关证明文件复印件;</w:t>
      </w:r>
    </w:p>
    <w:p w14:paraId="674D876A">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自行雇佣本项目员工并按照有关规定，保障其员工的合法权益，负责物业公司工作人员的管理、工资、社保、医疗及培训等的费用，物业公司自行解决员工劳动纠纷，并承担因此产生的一切法律责任和经济责任等。物业公司必须积极勤勉教育其员工遵纪守法、遵守福彩中心各项规章制度，服从福彩中心的工作安排。</w:t>
      </w:r>
    </w:p>
    <w:p w14:paraId="543089E8">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5.更换岗位人员时，需先与福彩中心沟通，按福彩中心提出的资格条件挑选拟用人员。拟用人员需经福彩中心考核合格后方可聘用。</w:t>
      </w:r>
    </w:p>
    <w:p w14:paraId="37B222F0">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福彩中心对物业公司按月考核，并进行定期和不定期检查和监督，对检查中发现的问题或对物业公司个别素质不符合使用要求的员工，福彩中心有权以书面形式通知物业公司限期整改、辞退、调换，如物业公司拒不整改、辞退、调换的，福彩中心有权解除合同，物业公司需保证在福彩中心采购到新的物业服务供应商之前按福彩中心要求提供物业服务，确保服务无缝衔接。</w:t>
      </w:r>
    </w:p>
    <w:p w14:paraId="1C6464AE">
      <w:pPr>
        <w:spacing w:line="57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四、资格要求</w:t>
      </w:r>
    </w:p>
    <w:p w14:paraId="785A5F8F">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1.满足《中华人民共和国政府采购法》第二十二条规定：</w:t>
      </w:r>
    </w:p>
    <w:p w14:paraId="2EC13530">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在中华人民共和国境内注册的法人或其他组织的营业执照或事业单位法人证书或社会团体法人登记证书复印件，如响应供应商为自然人的提供自然人身份证明复印件；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51BA8E77">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(2)提供《汕头市政府采购供应商信用承诺函》（或提供2023年度财务状况报告或2024年任意1个月的财务状况报告复印件，或银行出具的资信证明材料复印件）；</w:t>
      </w:r>
    </w:p>
    <w:p w14:paraId="27FF5B13">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(3)提供《汕头市政府采购供应商信用承诺函》（或提供2024年任意1个月缴纳税收凭据证明材料复印件；如依法免税的，应提供相关材料）；</w:t>
      </w:r>
    </w:p>
    <w:p w14:paraId="0A522316">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(4)提供《汕头市政府采购供应商信用承诺函》（或提供2024年任意1个月缴纳社会保障资金的凭据证明材料复印件；如依法不需要缴纳社会保障资金的，应提供相关材料）；</w:t>
      </w:r>
    </w:p>
    <w:p w14:paraId="3C527A08">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(5)提供履行合同所必需的设备和专业技术能力的证明材料。（提供《响应供应商资格声明函》）</w:t>
      </w:r>
    </w:p>
    <w:p w14:paraId="7522ED15">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提供参加采购活动前3年内在经营活动中没有重大违法记录的书面声明；（提供《汕头市政府采购供应商信用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7533073">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(7)法律、行政法规规定的其他条件。（提供《响应供应商资格声明函》）</w:t>
      </w:r>
    </w:p>
    <w:p w14:paraId="3ECCE411">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为采购项目提供整体设计、规范编制或者项目管理、监理、检测等服务的供应商，不得再参加该采购项目同一合同项下的其他采购活动。（提供《响应供应商资格声明函》）</w:t>
      </w:r>
    </w:p>
    <w:p w14:paraId="46D1E3DE">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.单位负责人为同一人或者存在直接控股、管理关系的不同供应商，不得参加同一合同项下的采购活动。（提供《响应供应商资格声明函》）</w:t>
      </w:r>
    </w:p>
    <w:p w14:paraId="5711F1A7">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.响应供应商未被列入“信用中国”网站(www.creditchina.gov.cn) 以下任何记录名单之一：①失信被执行人；②重大税收违法案件当事人名单；③政府采购严重违法失信行为。同时，不处于中国政府采购网(www.ccgp.gov.cn)“政府采购严重违法失信行为信息记录”中的禁止参加政府采购活动期间。（说明：①由采购人、采购代理机构于递交响应文件截止日在“信用中国”网站（www.creditchina.gov.cn）及中国政府采购网(www.ccgp.gov.cn)查询结果为准，如在上述网站查询结果均显示没有相关记录，视为不存在上述不良信用记录。②同时对信用信息查询记录和证据截图或下载存档。③响应供应商为分公司的，同时对该分公司所属总公司（总所）进行信用记录查询，该分公司所属总公司（总所）存在不良信用记录的，视同响应供应商存在不良信用记录。）</w:t>
      </w:r>
    </w:p>
    <w:p w14:paraId="57B5F767">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三、项目服务期限</w:t>
      </w:r>
    </w:p>
    <w:p w14:paraId="5F2E220C">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12个月（2025年2月1日至2026年1月31日）。</w:t>
      </w:r>
    </w:p>
    <w:p w14:paraId="09F01387">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四、服务费用及结算方式</w:t>
      </w:r>
    </w:p>
    <w:p w14:paraId="4EB9C5D4">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整体费用中，其中2名保安的费用，我福彩中心只支付80%，其余20%费用需供应商直接向在同栋楼办公的市慈善总会、市殡葬协会、市社会工作者协会、市婚姻家庭幸福建设协会收取；剩余1名保安及2名保洁的费用，由我福彩中心全额支付。</w:t>
      </w:r>
    </w:p>
    <w:p w14:paraId="756D95AD">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2.体检费用及保险费用据实结算；</w:t>
      </w:r>
    </w:p>
    <w:p w14:paraId="568C0443">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3.每月根据实际服务情况及考核结果据实支付当月服务费用，具体以每月服务费用明细表确认结果为准。</w:t>
      </w:r>
    </w:p>
    <w:p w14:paraId="0C539B32">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五、违约责任与赔偿损失</w:t>
      </w:r>
    </w:p>
    <w:p w14:paraId="42D00DD0">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1.物业公司未能按照本合同约定提供服务的，经福彩中心要求整改后次月仍不能达到工作标准的，福彩中心有权扣除物业公司未达标月的物业管理服务费的2%，并有权解除合同。</w:t>
      </w:r>
    </w:p>
    <w:p w14:paraId="2FCAEE2D">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2.在本合同服务期限内因物业公司管理不到位、疏忽过失、工作职责不落实等原因造成重大责任事故或安全事故的，物业公司应当依法承担相应的赔偿责任，福彩中心有权解除合同。</w:t>
      </w:r>
    </w:p>
    <w:p w14:paraId="7D92935A">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福彩中心对物业公司进行定期与不定期检查和监督，对检查中发现的问题或对物业公司个别素质不符合使用要求的员工，福彩中心有权以书面形式通知物业公司限期整改、辞退、调换，如物业公司拒不整改、辞退、调换的，福彩中心有权解除合同。</w:t>
      </w:r>
    </w:p>
    <w:p w14:paraId="6D7D3E02">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4.福彩中心每月对物业公司服务质量进行综合考核（设定物业管理服务质量考核表），并以考核结果作为本期合格验收报告支付管理费。</w:t>
      </w:r>
    </w:p>
    <w:p w14:paraId="474E9557">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（1）物业公司考核结果须超过85分（含）（总分100分），全额支付管理费。</w:t>
      </w:r>
    </w:p>
    <w:p w14:paraId="2EB27EFA">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（2）物业公司考核结果在65分-84分，福彩中心按一个月物业管理费总额2%的金额给予扣除。</w:t>
      </w:r>
    </w:p>
    <w:p w14:paraId="24537B76">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（3）物业公司考核结果低于65分（不含），福彩中心按一个月物业管理费总额5%的金额给予扣除。</w:t>
      </w:r>
    </w:p>
    <w:p w14:paraId="065DE14C">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（4）物业公司连续两次考核结果低于65分（不含），或者物业公司合同期内超过三次考核结果低于65分（不含），福彩中心有权终止合同。</w:t>
      </w:r>
    </w:p>
    <w:p w14:paraId="363A2007">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5.未经福彩中心同意，物业公司不得在合同期限内将承包项目转包或分包，否则，视为物业公司违约，福彩中心可以解除承包合同。造成福彩中心经济损失的，物业公司应给予相应的经济赔偿。</w:t>
      </w:r>
    </w:p>
    <w:p w14:paraId="137F36D3">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福彩中心、物业公司任何一方无正当理由提前终止合同的，应向对方支付相当于三个月管理费的违约金。如因财政资金未能及时到位，导致福彩中心未能按时履行付款义务的，不视违约，并且此情况不能成为物业公司延期服务的理由。</w:t>
      </w:r>
    </w:p>
    <w:p w14:paraId="1113473B">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7.其它违约责任按招标文件要求、物业公司投标文件承诺处理。</w:t>
      </w:r>
    </w:p>
    <w:p w14:paraId="52A8A6BE">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8.合同未尽事宜按《中华人民共和国民法典》、《中华人民共和国物业管理条例》等法律法规处理。</w:t>
      </w:r>
    </w:p>
    <w:p w14:paraId="2FAF025E">
      <w:pPr>
        <w:pStyle w:val="4"/>
        <w:spacing w:before="93" w:after="93"/>
        <w:rPr>
          <w:rFonts w:cs="宋体"/>
        </w:rPr>
      </w:pPr>
      <w:r>
        <w:rPr>
          <w:rFonts w:hint="eastAsia" w:cs="宋体"/>
        </w:rPr>
        <w:t>六、争议的解决</w:t>
      </w:r>
    </w:p>
    <w:p w14:paraId="1C96804D">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合同执行过程中发生的任何争议，如双方不能通过友好协商解决，通过依法向汕头市人民法院提起诉讼解决争议。</w:t>
      </w:r>
    </w:p>
    <w:p w14:paraId="7214D633">
      <w:pPr>
        <w:pStyle w:val="4"/>
        <w:spacing w:before="93" w:after="93"/>
        <w:rPr>
          <w:rFonts w:cs="宋体"/>
        </w:rPr>
      </w:pPr>
      <w:r>
        <w:rPr>
          <w:rFonts w:hint="eastAsia" w:cs="宋体"/>
        </w:rPr>
        <w:t>七、不可抗力</w:t>
      </w:r>
    </w:p>
    <w:p w14:paraId="4D3A0E2B">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0DCBBDE">
      <w:pPr>
        <w:pStyle w:val="4"/>
        <w:spacing w:before="93" w:after="93"/>
        <w:rPr>
          <w:rFonts w:cs="宋体"/>
        </w:rPr>
      </w:pPr>
      <w:r>
        <w:rPr>
          <w:rFonts w:hint="eastAsia" w:cs="宋体"/>
        </w:rPr>
        <w:t>八、税费</w:t>
      </w:r>
    </w:p>
    <w:p w14:paraId="3DB4696E">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在中国境内、外发生的与本合同执行有关的一切税费均由物业公司负担。</w:t>
      </w:r>
    </w:p>
    <w:p w14:paraId="26574345">
      <w:pPr>
        <w:pStyle w:val="4"/>
        <w:spacing w:before="93" w:after="93"/>
        <w:rPr>
          <w:rFonts w:cs="宋体"/>
        </w:rPr>
      </w:pPr>
      <w:r>
        <w:rPr>
          <w:rFonts w:hint="eastAsia" w:cs="宋体"/>
        </w:rPr>
        <w:t>九、其它</w:t>
      </w:r>
    </w:p>
    <w:p w14:paraId="5E40F057">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1.本合同所有附件、招标文件、投标文件、中标通知书均为合同的有效组成部分，与本合同具有同等法律效力。</w:t>
      </w:r>
    </w:p>
    <w:p w14:paraId="71D6AB35">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2.在执行本合同的过程中，所有经双方签署确认的文件（包括会议纪要、补充协议、往来信函）即成为本合同的有效组成部分。</w:t>
      </w:r>
    </w:p>
    <w:p w14:paraId="4C4BCC7D">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3.如一方地址、电话、传真号码有变更，应在变更当日内书面通知对方，否则，应承担相应责任。</w:t>
      </w:r>
    </w:p>
    <w:p w14:paraId="53AF30CB">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4.除福彩中心事先书面同意外，物业公司不得部分或全部转让其应履行的合同项下的义务。</w:t>
      </w:r>
    </w:p>
    <w:p w14:paraId="44F054C2">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该办公楼除福彩中心外，市慈善总会、市殡葬协会、市社会工作者协会、市婚姻家庭幸福建设协会均在此办公，物业公司需为以上单位提供上述保安服务。福彩中心完成物业服务项目采购后，市慈善总会、市殡葬协会、市社会工作者协会、市婚姻家庭幸福建设协会将分别与物业公司签订协议，并按相应比例结算费用：市福彩中心负责其中80%，市慈善总会负责其中11%、市殡葬协会负责其中4%、市社会工作者协会负责其中4%、市婚姻家庭幸福建设协会负责其中1%。</w:t>
      </w:r>
    </w:p>
    <w:sectPr>
      <w:footerReference r:id="rId3" w:type="default"/>
      <w:pgSz w:w="11906" w:h="16838"/>
      <w:pgMar w:top="2211" w:right="1587"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BCC5">
    <w:pPr>
      <w:pStyle w:val="5"/>
      <w:jc w:val="right"/>
      <w:rPr>
        <w:rFonts w:ascii="宋体" w:hAnsi="宋体"/>
        <w:sz w:val="28"/>
        <w:szCs w:val="28"/>
      </w:rPr>
    </w:pPr>
    <w:r>
      <w:rPr>
        <w:sz w:val="28"/>
      </w:rPr>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W74rrSAAAABQEAAA8AAAAAAAAAAQAgAAAAIgAAAGRy&#10;cy9kb3ducmV2LnhtbFBLAQIUABQAAAAIAIdO4kA98oXM0gEAAKIDAAAOAAAAAAAAAAEAIAAAACEB&#10;AABkcnMvZTJvRG9jLnhtbFBLBQYAAAAABgAGAFkBAABlBQAAAAA=&#10;">
          <v:path/>
          <v:fill on="f" focussize="0,0"/>
          <v:stroke on="f" weight="0.25pt" joinstyle="miter"/>
          <v:imagedata o:title=""/>
          <o:lock v:ext="edit"/>
          <v:textbox inset="0mm,0mm,0mm,0mm" style="mso-fit-shape-to-text:t;">
            <w:txbxContent>
              <w:p w14:paraId="08F8C64A">
                <w:pPr>
                  <w:pStyle w:val="5"/>
                  <w:jc w:val="right"/>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8</w:t>
                </w:r>
                <w:r>
                  <w:rPr>
                    <w:sz w:val="32"/>
                    <w:szCs w:val="32"/>
                  </w:rPr>
                  <w:fldChar w:fldCharType="end"/>
                </w:r>
                <w:r>
                  <w:rPr>
                    <w:sz w:val="32"/>
                    <w:szCs w:val="32"/>
                  </w:rPr>
                  <w:t xml:space="preserve"> —</w:t>
                </w:r>
              </w:p>
            </w:txbxContent>
          </v:textbox>
        </v:shape>
      </w:pict>
    </w:r>
  </w:p>
  <w:p w14:paraId="57AA1462">
    <w:pPr>
      <w:pStyle w:val="5"/>
      <w:wordWrap w:val="0"/>
      <w:jc w:val="right"/>
      <w:rPr>
        <w:rFonts w:ascii="宋体" w:hAnsi="宋体"/>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Q2ODJiOWVjMmQ1M2Q0MWMxNWFjODQxYmY1YTVjMzAifQ=="/>
  </w:docVars>
  <w:rsids>
    <w:rsidRoot w:val="0D0B4CAA"/>
    <w:rsid w:val="0012055C"/>
    <w:rsid w:val="002F1F85"/>
    <w:rsid w:val="003E40B0"/>
    <w:rsid w:val="003F2E97"/>
    <w:rsid w:val="00491B41"/>
    <w:rsid w:val="005603B0"/>
    <w:rsid w:val="0084156C"/>
    <w:rsid w:val="00852452"/>
    <w:rsid w:val="00974843"/>
    <w:rsid w:val="00A52F5D"/>
    <w:rsid w:val="00B21410"/>
    <w:rsid w:val="00BC387A"/>
    <w:rsid w:val="00CD173C"/>
    <w:rsid w:val="00F225FD"/>
    <w:rsid w:val="00F56B67"/>
    <w:rsid w:val="013B0CBA"/>
    <w:rsid w:val="0550533E"/>
    <w:rsid w:val="0D0B4CAA"/>
    <w:rsid w:val="0D7E18F7"/>
    <w:rsid w:val="164D0DDB"/>
    <w:rsid w:val="1A7935F0"/>
    <w:rsid w:val="1AA34FBE"/>
    <w:rsid w:val="1C0F0F61"/>
    <w:rsid w:val="2676081F"/>
    <w:rsid w:val="2CC85A7B"/>
    <w:rsid w:val="2E3E3C10"/>
    <w:rsid w:val="37EA43F2"/>
    <w:rsid w:val="3C0E78A0"/>
    <w:rsid w:val="3CE37662"/>
    <w:rsid w:val="3D0B15A4"/>
    <w:rsid w:val="3E8A35EB"/>
    <w:rsid w:val="3EC067C6"/>
    <w:rsid w:val="404228F2"/>
    <w:rsid w:val="422B116F"/>
    <w:rsid w:val="435B618D"/>
    <w:rsid w:val="46A64D52"/>
    <w:rsid w:val="4A63626B"/>
    <w:rsid w:val="4BC241B0"/>
    <w:rsid w:val="4BCE60BB"/>
    <w:rsid w:val="4D5B1B8C"/>
    <w:rsid w:val="4FAB7FFB"/>
    <w:rsid w:val="54CF723D"/>
    <w:rsid w:val="560F2CC2"/>
    <w:rsid w:val="58A94F18"/>
    <w:rsid w:val="58D6726A"/>
    <w:rsid w:val="5B550311"/>
    <w:rsid w:val="5D4C4F76"/>
    <w:rsid w:val="749C0A89"/>
    <w:rsid w:val="79427B01"/>
    <w:rsid w:val="7A0B1E26"/>
    <w:rsid w:val="7B5039AC"/>
    <w:rsid w:val="7DD07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unhideWhenUsed/>
    <w:qFormat/>
    <w:uiPriority w:val="0"/>
    <w:pPr>
      <w:keepNext/>
      <w:keepLines/>
      <w:spacing w:beforeLines="30" w:afterLines="30" w:line="408" w:lineRule="auto"/>
      <w:outlineLvl w:val="2"/>
    </w:pPr>
    <w:rPr>
      <w:rFonts w:ascii="宋体" w:hAnsi="宋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99"/>
    <w:pPr>
      <w:spacing w:before="25" w:after="25" w:line="300" w:lineRule="auto"/>
    </w:pPr>
    <w:rPr>
      <w:rFonts w:ascii="Times" w:hAnsi="Times"/>
      <w:spacing w:val="10"/>
      <w:kern w:val="0"/>
      <w:szCs w:val="20"/>
    </w:rPr>
  </w:style>
  <w:style w:type="paragraph" w:styleId="3">
    <w:name w:val="Body Text"/>
    <w:basedOn w:val="1"/>
    <w:next w:val="1"/>
    <w:unhideWhenUsed/>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customStyle="1" w:styleId="10">
    <w:name w:val="null3"/>
    <w:hidden/>
    <w:qFormat/>
    <w:uiPriority w:val="0"/>
    <w:rPr>
      <w:rFonts w:hint="eastAsia" w:asciiTheme="minorHAnsi" w:hAnsiTheme="minorHAnsi" w:eastAsiaTheme="minorEastAsia" w:cstheme="minorBidi"/>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14</Pages>
  <Words>6538</Words>
  <Characters>6741</Characters>
  <Lines>48</Lines>
  <Paragraphs>13</Paragraphs>
  <TotalTime>14</TotalTime>
  <ScaleCrop>false</ScaleCrop>
  <LinksUpToDate>false</LinksUpToDate>
  <CharactersWithSpaces>6742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2025-01-09T08:37:00Z</dcterms:created>
  <dc:creator>许*禹</dc:creator>
  <cp:lastModifiedBy>一一</cp:lastModifiedBy>
  <cp:lastPrinted>2025-01-08T08:29:00Z</cp:lastPrinted>
  <dcterms:modified xsi:type="dcterms:W3CDTF">2025-12-29T00:44:54Z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47668337D4F0475294ACF1D26F06F8C1</vt:lpwstr>
  </property>
  <property fmtid="{D5CDD505-2E9C-101B-9397-08002B2CF9AE}" pid="4" name="KSOTemplateDocerSaveRecord">
    <vt:lpwstr>eyJoZGlkIjoiYTBjYzk2ODhhZjU4M2RkYjg0NjdiMzg0YTY2ZmUxOWQiLCJ1c2VySWQiOiIyODQ0ODkxNDEifQ==</vt:lpwstr>
  </property>
</Properties>
</file>