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"/>
        <w:rPr>
          <w:rFonts w:hint="default"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>附件</w:t>
      </w:r>
      <w:r>
        <w:rPr>
          <w:rFonts w:hint="default"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>2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-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"/>
          <w:sz w:val="44"/>
          <w:szCs w:val="44"/>
          <w:lang w:val="en-US" w:eastAsia="zh-CN"/>
        </w:rPr>
        <w:t>XX有限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公司特种设备事故隐患</w:t>
      </w:r>
    </w:p>
    <w:p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-2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内部报告奖励制度</w:t>
      </w:r>
    </w:p>
    <w:p>
      <w:pPr>
        <w:pStyle w:val="3"/>
        <w:spacing w:before="129" w:line="222" w:lineRule="auto"/>
        <w:jc w:val="center"/>
      </w:pPr>
      <w:r>
        <w:rPr>
          <w:spacing w:val="18"/>
        </w:rPr>
        <w:t>(参考模版)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right="11" w:firstLine="655" w:firstLineChars="200"/>
        <w:jc w:val="left"/>
        <w:textAlignment w:val="baseline"/>
        <w:rPr>
          <w:rFonts w:ascii="黑体" w:hAnsi="黑体" w:eastAsia="黑体" w:cs="黑体"/>
          <w:spacing w:val="3"/>
        </w:rPr>
      </w:pPr>
      <w:r>
        <w:rPr>
          <w:rFonts w:ascii="黑体" w:hAnsi="黑体" w:eastAsia="黑体" w:cs="黑体"/>
          <w:b/>
          <w:bCs/>
          <w:spacing w:val="3"/>
        </w:rPr>
        <w:t>一</w:t>
      </w:r>
      <w:r>
        <w:rPr>
          <w:rFonts w:hint="eastAsia" w:ascii="黑体" w:hAnsi="黑体" w:eastAsia="黑体" w:cs="黑体"/>
          <w:b/>
          <w:bCs/>
          <w:spacing w:val="3"/>
          <w:lang w:eastAsia="zh-CN"/>
        </w:rPr>
        <w:t>、目的</w:t>
      </w:r>
      <w:r>
        <w:rPr>
          <w:rFonts w:ascii="黑体" w:hAnsi="黑体" w:eastAsia="黑体" w:cs="黑体"/>
          <w:spacing w:val="3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为落实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特种设备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安全生产主体责任，构建全员参与的安全风险防控体系，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充分调动特种设备从业人员发现和报告事故隐患的积极性，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及时发现公司生产经营场所存在的安全隐患和问题，根据《中华人民共和国安全生产法》《中华人民共和国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特种设备安全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法》《广东省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特种设备安全条例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》等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法律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法规，结合本公司实际，制定本制度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left="17" w:right="0" w:firstLine="652"/>
        <w:jc w:val="left"/>
        <w:textAlignment w:val="baseline"/>
        <w:rPr>
          <w:rFonts w:ascii="黑体" w:hAnsi="黑体" w:eastAsia="黑体" w:cs="黑体"/>
          <w:spacing w:val="3"/>
        </w:rPr>
      </w:pPr>
      <w:r>
        <w:rPr>
          <w:rFonts w:ascii="黑体" w:hAnsi="黑体" w:eastAsia="黑体" w:cs="黑体"/>
          <w:b/>
          <w:bCs/>
          <w:spacing w:val="3"/>
        </w:rPr>
        <w:t>二</w:t>
      </w:r>
      <w:r>
        <w:rPr>
          <w:rFonts w:hint="eastAsia" w:ascii="黑体" w:hAnsi="黑体" w:eastAsia="黑体" w:cs="黑体"/>
          <w:b/>
          <w:bCs/>
          <w:spacing w:val="3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适用范围</w:t>
      </w:r>
      <w:r>
        <w:rPr>
          <w:rFonts w:ascii="黑体" w:hAnsi="黑体" w:eastAsia="黑体" w:cs="黑体"/>
          <w:spacing w:val="3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本制度适用于本单位内全体从业人员，包括正式员工、劳务派遣、临时聘用人员以及为本单位提供服务的承包商、供应商等，对本单位生产经营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过程中涉及的设备设施、作业环境、安全管理流程等方面的特种设备事故隐患内部报告和奖励。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right="17" w:firstLine="675"/>
        <w:jc w:val="left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三、报告内容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人的不安全行为。包括特种设备从业人员违反安全技术规范和管理制度的行为、不执行安全生产指令、不正确使用个人劳动保护用品；管理人员违章指挥、擅自变更安全工艺和操作程序、指挥未经安全培训的劳动者或无相应资质人员作业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设施设备的不安全状态。包括生产、销售、出租、使用未取得许可生产、国家或者省明令淘汰、已经报废或者达到报废条件的特种设备；使用未按规定进行监督检验或者监督检验不合格的特种设备；超过允许工作参数使用特种设备；使用未按照规定办理使用登记的特种设备；擅自动用、调换、转移、损毁被查封、扣押的特种设备或者其主要部件；未对特种设备进行经常性维护保养和定期自行检查、未对特种设备的安全附件、安全保护装置进行定期校验、检修，并作出记录；未对特种设备及时申报并接受检验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环境的不安全因素。包括作业场所未依法办理相关审批或许可，对作业场所风险评估不足，未对作业场所进行风险监测并设置有效的安全保障，对作业场所事故隐患整改不到位；进行特种设备安装、改造、修理等作业，未按规定落实安全防护措施；在特种设备生产过程中未加强消防安全管理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安全管理存在的缺陷和漏洞。包括未组织学习《特种设备重大事故隐患判定准则（GB45067-2024）》并做好特种设备重大事故隐患排查整治工作台账；未配备具有相应资格的特种设备从业人员、使用未取得相应资格的人员从事特种设备工作、未对特种设备从业人员进行安全教育和技能培训；未建立特种设备安全技术档案或者安全技术档案不符合规定要求、未依法设置使用登记标志、定期检验标志；未制定特种设备事故应急专项预案、未开展应急演练等。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（五）鼓励特种设备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从业人员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在报告事故隐患的同时，提出整改的合理化建议。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left="17" w:firstLine="652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ascii="黑体" w:hAnsi="黑体" w:eastAsia="黑体" w:cs="黑体"/>
          <w:b/>
          <w:bCs/>
          <w:spacing w:val="4"/>
        </w:rPr>
        <w:t>四</w:t>
      </w:r>
      <w:r>
        <w:rPr>
          <w:rFonts w:hint="eastAsia" w:ascii="黑体" w:hAnsi="黑体" w:eastAsia="黑体" w:cs="黑体"/>
          <w:b/>
          <w:bCs/>
          <w:spacing w:val="4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报告途径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安全管理部门作为公司事故隐患报告受理、查证、督促整改、落实奖励的管理部门，设立以下三种报告受理途径，并制作示范案例，确保从业人员清楚 “向谁报告、怎样报告”，在公司公共区域醒目位置张贴公布。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（一）邮箱：******；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（二）电话：******；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（三）微信：1.微信公众号：******；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249555</wp:posOffset>
                </wp:positionV>
                <wp:extent cx="59055" cy="742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7" w:lineRule="auto"/>
                              <w:ind w:left="20"/>
                              <w:rPr>
                                <w:rFonts w:ascii="宋体" w:hAnsi="宋体" w:eastAsia="宋体" w:cs="宋体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6"/>
                                <w:szCs w:val="6"/>
                              </w:rPr>
                              <w:t>◎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45pt;margin-top:19.65pt;height:5.85pt;width:4.65pt;z-index:251660288;mso-width-relative:page;mso-height-relative:page;" filled="f" stroked="f" coordsize="21600,21600" o:gfxdata="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dzQw+2QAAAAkBAAAPAAAAAAAAAAEAIAAAADgA&#10;AABkcnMvZG93bnJldi54bWxQSwECFAAUAAAACACHTuJAIowxRbkBAABvAwAADgAAAAAAAAABACAA&#10;AAA+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7" w:lineRule="auto"/>
                        <w:ind w:left="20"/>
                        <w:rPr>
                          <w:rFonts w:ascii="宋体" w:hAnsi="宋体" w:eastAsia="宋体" w:cs="宋体"/>
                          <w:sz w:val="6"/>
                          <w:szCs w:val="6"/>
                        </w:rPr>
                      </w:pPr>
                      <w:r>
                        <w:rPr>
                          <w:rFonts w:ascii="宋体" w:hAnsi="宋体" w:eastAsia="宋体" w:cs="宋体"/>
                          <w:sz w:val="6"/>
                          <w:szCs w:val="6"/>
                        </w:rPr>
                        <w:t>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2.微信群：******。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left="17" w:firstLine="652"/>
        <w:jc w:val="left"/>
        <w:textAlignment w:val="baseline"/>
        <w:rPr>
          <w:spacing w:val="4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五、核查与整改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（一）对从业人员报告的事故隐患，相关负责人应及时与报告人员沟通，并组织核查，及时答复。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（二）核查属实的事故隐患，能立即整改的要立即整改；无法立即整改的，要建立台账实行闭环管理，做到责任人、措施、资金、期限和应急预案 “五落实”，并向报告人员反馈处置情况或向全员公示事故隐患整改情况。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1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对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报告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人的信息保密，不得向无关人员泄漏。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firstLine="619" w:firstLineChars="200"/>
        <w:jc w:val="left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六、奖励资金来源</w:t>
      </w:r>
    </w:p>
    <w:p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ascii="Arial"/>
          <w:sz w:val="21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按照《企业安全生产费用提取和使用管理办法》规定，落实从业人员报告事故隐患的奖励支出，从企业安全生产费用中列支。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firstLine="619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七、奖励标准与方式</w:t>
      </w:r>
    </w:p>
    <w:p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奖励坚持物质奖励和精神奖励相结合的原则，鼓励 “小隐患小奖，大隐患大奖”，对报告重大事故隐患等突出问题的予以重奖。一般在事故隐患核查属实后的3天内完成奖励发放。</w:t>
      </w:r>
    </w:p>
    <w:p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（一）一般事故隐患。由公司根据实际情况自行确定所属范围，给予报告人xx元的物质奖励。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（二）重大事故隐患。依据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《特种设备重大事故隐患判定准则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》判定，给予报告人xx元的高额物质奖励。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left="0" w:leftChars="0" w:firstLine="619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八、正向激励措施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对事故隐患报告工作开展较好的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部门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和个人，在业绩考核、评优评先及人员奖励、晋升等方面予以倾斜，强化激励引导，充分保障和保护主动报告事故隐患从业人员的合法权益，不得借机限制报告人员权益或借故打击报复。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left="0" w:leftChars="0" w:firstLine="619" w:firstLineChars="200"/>
        <w:jc w:val="left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、结果运用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注重对从业人员报告隐患情况的分析，举一反三研判现场管理、责任落实、设备设施、工艺技术等方面存在的问题，及时采取针对性措施加以改进，不断提高安全生产水平。定期对事故隐患报告及奖励情况进行总结和通报，使全体员工了解单位安全生产状况，增强安全意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firstLine="619" w:firstLineChars="200"/>
        <w:jc w:val="left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、宣传与培训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加强事故隐患内部报告奖励工作的宣传，通过单位内部宣传栏、微信群、公众号、会议等多种形式，宣传该制度的内容和意义，提高从业人员发现问题和解决问题的意愿和能力。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强化培训，将事故隐患内部报告奖励制度纳入单位安全生产教育培训内容，利用岗前培训、定期安全培训等形式，提升从业人员对本单位、本岗位安全风险和事故隐患的辨识能力。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ind w:firstLine="619" w:firstLineChars="200"/>
        <w:jc w:val="left"/>
        <w:textAlignment w:val="baseline"/>
        <w:rPr>
          <w:rFonts w:hint="eastAsia" w:ascii="黑体" w:hAnsi="黑体" w:eastAsia="黑体" w:cs="黑体"/>
          <w:b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32"/>
        </w:rPr>
        <w:t>十一、监督与管理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jc w:val="left"/>
        <w:textAlignment w:val="baseline"/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明确监督部门和人员，负责对事故隐患报告、核查、奖励等环节进行监督，确保制度的有效执行。对在事故隐患报告奖励工作中存在弄虚作假、违规操作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en-US" w:bidi="ar-SA"/>
        </w:rPr>
        <w:t>借故打击报复等行为的人员，依法依规进行严肃处理。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-105410</wp:posOffset>
              </wp:positionV>
              <wp:extent cx="336550" cy="2432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3pt;height:19.15pt;width:26.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f2wdRtYAAAAGAQAADwAAAAAAAAAB&#10;ACAAAAA4AAAAZHJzL2Rvd25yZXYueG1sUEsBAhQAFAAAAAgAh07iQMbF96o1AgAAYQQAAA4AAAAA&#10;AAAAAQAgAAAAOw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A226A"/>
    <w:rsid w:val="188D6421"/>
    <w:rsid w:val="1A8C6350"/>
    <w:rsid w:val="3A046E43"/>
    <w:rsid w:val="48B065C3"/>
    <w:rsid w:val="567F1D52"/>
    <w:rsid w:val="5DF56040"/>
    <w:rsid w:val="61813F63"/>
    <w:rsid w:val="776F903B"/>
    <w:rsid w:val="7E0E3894"/>
    <w:rsid w:val="7FFB64DD"/>
    <w:rsid w:val="9FDFA383"/>
    <w:rsid w:val="BB9F6F0A"/>
    <w:rsid w:val="CDBF34C5"/>
    <w:rsid w:val="DF5F717F"/>
    <w:rsid w:val="DFFF931F"/>
    <w:rsid w:val="F6EA0E11"/>
    <w:rsid w:val="FFCFA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1745</Words>
  <Characters>1785</Characters>
  <Lines>0</Lines>
  <Paragraphs>0</Paragraphs>
  <TotalTime>1</TotalTime>
  <ScaleCrop>false</ScaleCrop>
  <LinksUpToDate>false</LinksUpToDate>
  <CharactersWithSpaces>1843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2025-05-29T07:12:00Z</dcterms:created>
  <dc:creator>Administrator</dc:creator>
  <cp:lastModifiedBy>苏腾斌</cp:lastModifiedBy>
  <dcterms:modified xsi:type="dcterms:W3CDTF">2025-12-23T11:54:31Z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KSOTemplateDocerSaveRecord">
    <vt:lpwstr>eyJoZGlkIjoiMDMyNDZiY2QwNTU2ODU3ZjI3Mjc3ODMzYTBiODkwMzYiLCJ1c2VySWQiOiIzNjAxNTE5NTQifQ==</vt:lpwstr>
  </property>
  <property fmtid="{D5CDD505-2E9C-101B-9397-08002B2CF9AE}" pid="4" name="ICV">
    <vt:lpwstr>975D3077576046BFBFCB5FAEDD2507B8_12</vt:lpwstr>
  </property>
</Properties>
</file>