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63E9D">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《汕头市城市管理和综合执法局关于规范城市管理综合执法行政处罚自由裁量权</w:t>
      </w:r>
    </w:p>
    <w:p w14:paraId="7C07BBAC">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规定》政策解读</w:t>
      </w:r>
      <w:bookmarkStart w:id="0" w:name="_GoBack"/>
      <w:bookmarkEnd w:id="0"/>
    </w:p>
    <w:p w14:paraId="452E1A49">
      <w:pPr>
        <w:spacing w:line="560" w:lineRule="exact"/>
        <w:rPr>
          <w:rFonts w:ascii="仿宋" w:hAnsi="仿宋" w:eastAsia="仿宋" w:cs="仿宋_GB2312"/>
          <w:szCs w:val="32"/>
        </w:rPr>
      </w:pPr>
    </w:p>
    <w:p w14:paraId="57A3A6C3">
      <w:pPr>
        <w:pStyle w:val="4"/>
        <w:numPr>
          <w:ilvl w:val="0"/>
          <w:numId w:val="1"/>
        </w:numPr>
        <w:shd w:val="clear" w:color="auto" w:fill="FFFFFF"/>
        <w:spacing w:line="560" w:lineRule="exact"/>
        <w:rPr>
          <w:rStyle w:val="7"/>
          <w:rFonts w:ascii="黑体" w:hAnsi="黑体" w:eastAsia="黑体" w:cs="黑体"/>
          <w:bCs w:val="0"/>
          <w:color w:val="000000"/>
          <w:sz w:val="32"/>
          <w:szCs w:val="32"/>
        </w:rPr>
      </w:pPr>
      <w:r>
        <w:rPr>
          <w:rStyle w:val="7"/>
          <w:rFonts w:hint="eastAsia" w:ascii="黑体" w:hAnsi="黑体" w:eastAsia="黑体" w:cs="黑体"/>
          <w:bCs w:val="0"/>
          <w:color w:val="000000"/>
          <w:sz w:val="32"/>
          <w:szCs w:val="32"/>
        </w:rPr>
        <w:t>修订背景和目的</w:t>
      </w:r>
    </w:p>
    <w:p w14:paraId="5D712BA7">
      <w:pPr>
        <w:widowControl/>
        <w:shd w:val="clear" w:color="auto" w:fill="FFFFFF"/>
        <w:adjustRightInd w:val="0"/>
        <w:snapToGrid w:val="0"/>
        <w:spacing w:line="560" w:lineRule="exact"/>
        <w:ind w:firstLine="707" w:firstLineChars="221"/>
        <w:rPr>
          <w:rFonts w:ascii="仿宋" w:hAnsi="仿宋" w:eastAsia="仿宋" w:cs="仿宋"/>
          <w:bCs/>
          <w:color w:val="000000"/>
          <w:szCs w:val="32"/>
        </w:rPr>
      </w:pPr>
      <w:r>
        <w:rPr>
          <w:rFonts w:hint="eastAsia" w:ascii="仿宋" w:hAnsi="仿宋" w:eastAsia="仿宋" w:cs="仿宋"/>
          <w:bCs/>
          <w:color w:val="000000"/>
          <w:szCs w:val="32"/>
        </w:rPr>
        <w:t>（一）修订《汕头市城市管理和综合执法局关于规范城市管理综合执法行政处罚自由裁量权规定》（以下简称《规定》）及其附件</w:t>
      </w:r>
      <w:r>
        <w:t>《汕头市城市管理综合执法领域行政处罚自由裁量权量化细化基准表》</w:t>
      </w:r>
      <w:r>
        <w:rPr>
          <w:rFonts w:hint="eastAsia" w:ascii="仿宋" w:hAnsi="仿宋" w:eastAsia="仿宋" w:cs="仿宋"/>
          <w:bCs/>
          <w:color w:val="000000"/>
          <w:szCs w:val="32"/>
        </w:rPr>
        <w:t>（以下简称《基准表》）、</w:t>
      </w:r>
      <w:r>
        <w:rPr>
          <w:rFonts w:hint="eastAsia" w:ascii="仿宋" w:hAnsi="仿宋" w:eastAsia="仿宋" w:cs="仿宋"/>
          <w:color w:val="000000"/>
          <w:kern w:val="0"/>
          <w:szCs w:val="32"/>
        </w:rPr>
        <w:t>《</w:t>
      </w:r>
      <w:r>
        <w:rPr>
          <w:rFonts w:hint="eastAsia" w:ascii="仿宋" w:hAnsi="仿宋" w:eastAsia="仿宋" w:cs="仿宋"/>
          <w:bCs/>
          <w:color w:val="000000"/>
          <w:szCs w:val="32"/>
        </w:rPr>
        <w:t>汕头市城市管理综合执法领域</w:t>
      </w:r>
      <w:r>
        <w:rPr>
          <w:rFonts w:hint="eastAsia" w:ascii="仿宋" w:hAnsi="仿宋" w:eastAsia="仿宋" w:cs="仿宋"/>
          <w:color w:val="000000"/>
          <w:kern w:val="0"/>
          <w:szCs w:val="32"/>
        </w:rPr>
        <w:t>减轻处罚清单》（以下简称《减罚清单》）、</w:t>
      </w:r>
      <w:r>
        <w:t>《汕头市城市管理综合执法领域不予处罚事项清单》</w:t>
      </w:r>
      <w:r>
        <w:rPr>
          <w:rFonts w:hint="eastAsia" w:ascii="仿宋" w:hAnsi="仿宋" w:eastAsia="仿宋" w:cs="仿宋"/>
          <w:color w:val="000000"/>
          <w:kern w:val="0"/>
          <w:szCs w:val="32"/>
        </w:rPr>
        <w:t>（以下简称《免罚清单》）和</w:t>
      </w:r>
      <w:r>
        <w:t>《汕头市城市管理综合执法领域严格监管地段、主要监管地段和普通地段范围》</w:t>
      </w:r>
      <w:r>
        <w:rPr>
          <w:rFonts w:hint="eastAsia" w:ascii="仿宋" w:hAnsi="仿宋" w:eastAsia="仿宋" w:cs="仿宋"/>
          <w:color w:val="000000"/>
          <w:kern w:val="0"/>
          <w:szCs w:val="32"/>
        </w:rPr>
        <w:t>（以下简称《地段范围》）</w:t>
      </w:r>
      <w:r>
        <w:rPr>
          <w:rFonts w:hint="eastAsia" w:ascii="仿宋" w:hAnsi="仿宋" w:eastAsia="仿宋" w:cs="仿宋"/>
          <w:bCs/>
          <w:color w:val="000000"/>
          <w:szCs w:val="32"/>
        </w:rPr>
        <w:t>是进一步完善汕头市城市管理综合执法行政处罚自由裁量制度的需要，是适应当前城管综合执法职能下放、基层执法队伍网上办案等新形势发展的必然要求。</w:t>
      </w:r>
    </w:p>
    <w:p w14:paraId="0900D715">
      <w:pPr>
        <w:autoSpaceDE w:val="0"/>
        <w:autoSpaceDN w:val="0"/>
        <w:adjustRightInd w:val="0"/>
        <w:spacing w:line="560" w:lineRule="exact"/>
        <w:ind w:firstLine="707" w:firstLineChars="221"/>
        <w:jc w:val="left"/>
        <w:rPr>
          <w:rFonts w:ascii="仿宋" w:hAnsi="仿宋" w:eastAsia="仿宋" w:cs="仿宋"/>
          <w:bCs/>
          <w:color w:val="000000"/>
          <w:szCs w:val="32"/>
        </w:rPr>
      </w:pPr>
      <w:r>
        <w:rPr>
          <w:rFonts w:hint="eastAsia" w:ascii="仿宋" w:hAnsi="仿宋" w:eastAsia="仿宋" w:cs="仿宋"/>
          <w:bCs/>
          <w:color w:val="000000"/>
          <w:szCs w:val="32"/>
        </w:rPr>
        <w:t>（二）制定</w:t>
      </w:r>
      <w:r>
        <w:rPr>
          <w:rFonts w:hint="eastAsia" w:ascii="仿宋" w:hAnsi="仿宋" w:eastAsia="仿宋" w:cs="仿宋"/>
          <w:color w:val="000000"/>
          <w:kern w:val="0"/>
          <w:szCs w:val="32"/>
        </w:rPr>
        <w:t>《减罚清单》和《免罚清单》是贯彻落实</w:t>
      </w:r>
      <w:r>
        <w:rPr>
          <w:rFonts w:hint="eastAsia" w:ascii="仿宋" w:hAnsi="仿宋" w:eastAsia="仿宋" w:cs="仿宋"/>
          <w:bCs/>
          <w:color w:val="000000"/>
          <w:szCs w:val="32"/>
        </w:rPr>
        <w:t>《</w:t>
      </w:r>
      <w:r>
        <w:rPr>
          <w:rFonts w:hint="eastAsia" w:ascii="仿宋" w:hAnsi="仿宋" w:eastAsia="仿宋" w:cs="仿宋"/>
          <w:bCs/>
          <w:color w:val="000000"/>
          <w:kern w:val="0"/>
          <w:szCs w:val="32"/>
        </w:rPr>
        <w:t>广东省人民政府办公厅关于推进包容审慎监管的指导意见</w:t>
      </w:r>
      <w:r>
        <w:rPr>
          <w:rFonts w:hint="eastAsia" w:ascii="仿宋" w:hAnsi="仿宋" w:eastAsia="仿宋" w:cs="仿宋"/>
          <w:bCs/>
          <w:color w:val="000000"/>
          <w:szCs w:val="32"/>
        </w:rPr>
        <w:t>》和《汕头市人民政府办公室</w:t>
      </w:r>
      <w:r>
        <w:rPr>
          <w:rFonts w:hint="eastAsia" w:ascii="仿宋" w:hAnsi="仿宋" w:eastAsia="仿宋" w:cs="仿宋"/>
          <w:bCs/>
          <w:color w:val="000000"/>
          <w:kern w:val="0"/>
          <w:szCs w:val="32"/>
        </w:rPr>
        <w:t>关于贯彻落实〈广东省人民政府办公厅关于推进包容审慎监管的指导意见〉的实施方案的通知》等中关于</w:t>
      </w:r>
      <w:r>
        <w:rPr>
          <w:rFonts w:hint="eastAsia" w:ascii="仿宋" w:hAnsi="仿宋" w:eastAsia="仿宋" w:cs="仿宋"/>
          <w:bCs/>
          <w:color w:val="000000"/>
          <w:szCs w:val="32"/>
        </w:rPr>
        <w:t>“</w:t>
      </w:r>
      <w:r>
        <w:rPr>
          <w:rFonts w:hint="eastAsia" w:ascii="仿宋" w:hAnsi="仿宋" w:eastAsia="仿宋" w:cs="仿宋"/>
          <w:bCs/>
          <w:color w:val="000000"/>
          <w:kern w:val="0"/>
          <w:szCs w:val="32"/>
        </w:rPr>
        <w:t>推行行政执法减免责清单制度</w:t>
      </w:r>
      <w:r>
        <w:rPr>
          <w:rFonts w:hint="eastAsia" w:ascii="仿宋" w:hAnsi="仿宋" w:eastAsia="仿宋" w:cs="仿宋"/>
          <w:bCs/>
          <w:color w:val="000000"/>
          <w:szCs w:val="32"/>
        </w:rPr>
        <w:t>”的要求的具体措施,是推进包容审慎监管，创新行政执法方式，提升执法服务水平的重要举措。</w:t>
      </w:r>
    </w:p>
    <w:p w14:paraId="6BE3E926">
      <w:pPr>
        <w:pStyle w:val="4"/>
        <w:shd w:val="clear" w:color="auto" w:fill="FFFFFF"/>
        <w:spacing w:line="560" w:lineRule="exact"/>
        <w:ind w:firstLine="643" w:firstLineChars="200"/>
        <w:rPr>
          <w:rStyle w:val="7"/>
          <w:rFonts w:ascii="黑体" w:hAnsi="黑体" w:eastAsia="黑体" w:cs="黑体"/>
          <w:bCs w:val="0"/>
          <w:color w:val="000000"/>
          <w:sz w:val="32"/>
          <w:szCs w:val="32"/>
        </w:rPr>
      </w:pPr>
      <w:r>
        <w:rPr>
          <w:rStyle w:val="7"/>
          <w:rFonts w:hint="eastAsia" w:ascii="黑体" w:hAnsi="黑体" w:eastAsia="黑体" w:cs="黑体"/>
          <w:bCs w:val="0"/>
          <w:color w:val="000000"/>
          <w:sz w:val="32"/>
          <w:szCs w:val="32"/>
        </w:rPr>
        <w:t>二、修订后《规定》及其附件的主要内容说明</w:t>
      </w:r>
    </w:p>
    <w:p w14:paraId="69730579">
      <w:pPr>
        <w:pStyle w:val="4"/>
        <w:numPr>
          <w:ilvl w:val="0"/>
          <w:numId w:val="2"/>
        </w:numPr>
        <w:shd w:val="clear" w:color="auto" w:fill="FFFFFF"/>
        <w:spacing w:line="560" w:lineRule="exact"/>
        <w:rPr>
          <w:rStyle w:val="7"/>
          <w:rFonts w:ascii="仿宋" w:hAnsi="仿宋" w:eastAsia="仿宋" w:cs="仿宋"/>
          <w:color w:val="000000"/>
          <w:sz w:val="32"/>
          <w:szCs w:val="32"/>
        </w:rPr>
      </w:pPr>
      <w:r>
        <w:rPr>
          <w:rStyle w:val="7"/>
          <w:rFonts w:hint="eastAsia" w:ascii="仿宋" w:hAnsi="仿宋" w:eastAsia="仿宋" w:cs="仿宋"/>
          <w:color w:val="000000"/>
          <w:sz w:val="32"/>
          <w:szCs w:val="32"/>
        </w:rPr>
        <w:t>修订后《规定》及其附件基本框架结构</w:t>
      </w:r>
    </w:p>
    <w:p w14:paraId="57869D9A">
      <w:pPr>
        <w:pStyle w:val="4"/>
        <w:shd w:val="clear" w:color="auto" w:fill="FFFFFF"/>
        <w:spacing w:line="560" w:lineRule="exact"/>
        <w:ind w:firstLine="640" w:firstLineChars="200"/>
        <w:rPr>
          <w:rStyle w:val="7"/>
          <w:rFonts w:ascii="仿宋" w:hAnsi="仿宋" w:eastAsia="仿宋" w:cs="仿宋"/>
          <w:b w:val="0"/>
          <w:sz w:val="32"/>
          <w:szCs w:val="32"/>
        </w:rPr>
      </w:pPr>
      <w:r>
        <w:rPr>
          <w:rStyle w:val="7"/>
          <w:rFonts w:hint="eastAsia" w:ascii="仿宋" w:hAnsi="仿宋" w:eastAsia="仿宋" w:cs="仿宋"/>
          <w:b w:val="0"/>
          <w:color w:val="000000"/>
          <w:sz w:val="32"/>
          <w:szCs w:val="32"/>
        </w:rPr>
        <w:t>1、《规定》全文共五章三十五条，分别为</w:t>
      </w:r>
      <w:r>
        <w:rPr>
          <w:rStyle w:val="7"/>
          <w:rFonts w:hint="eastAsia" w:ascii="仿宋" w:hAnsi="仿宋" w:eastAsia="仿宋" w:cs="仿宋"/>
          <w:b w:val="0"/>
          <w:sz w:val="32"/>
          <w:szCs w:val="32"/>
        </w:rPr>
        <w:t>总则、裁量规则、裁量程序、监督保障和附则共五章。</w:t>
      </w:r>
    </w:p>
    <w:p w14:paraId="29F24763">
      <w:pPr>
        <w:pStyle w:val="4"/>
        <w:shd w:val="clear" w:color="auto" w:fill="FFFFFF"/>
        <w:spacing w:line="560" w:lineRule="exact"/>
        <w:ind w:firstLine="640" w:firstLineChars="200"/>
        <w:rPr>
          <w:rStyle w:val="7"/>
          <w:rFonts w:ascii="仿宋" w:hAnsi="仿宋" w:eastAsia="仿宋" w:cs="仿宋"/>
          <w:b w:val="0"/>
          <w:sz w:val="32"/>
          <w:szCs w:val="32"/>
        </w:rPr>
      </w:pPr>
      <w:r>
        <w:rPr>
          <w:rStyle w:val="7"/>
          <w:rFonts w:hint="eastAsia" w:ascii="仿宋" w:hAnsi="仿宋" w:eastAsia="仿宋" w:cs="仿宋"/>
          <w:b w:val="0"/>
          <w:sz w:val="32"/>
          <w:szCs w:val="32"/>
        </w:rPr>
        <w:t>2、《基准表》包括市容环境卫生管理方面（共102项）、市政管理方面（共82项）、城市绿化管理方面（共31项）、城乡规划管理方面（共33项）和住房和城乡建设方面（共37项）五个部分共285个行政处罚事项的自由裁量标准。</w:t>
      </w:r>
    </w:p>
    <w:p w14:paraId="5B6608E3">
      <w:pPr>
        <w:pStyle w:val="4"/>
        <w:shd w:val="clear" w:color="auto" w:fill="FFFFFF"/>
        <w:spacing w:line="560" w:lineRule="exact"/>
        <w:ind w:firstLine="640" w:firstLineChars="200"/>
        <w:rPr>
          <w:rStyle w:val="7"/>
          <w:rFonts w:ascii="仿宋" w:hAnsi="仿宋" w:eastAsia="仿宋" w:cs="仿宋"/>
          <w:b w:val="0"/>
          <w:sz w:val="32"/>
          <w:szCs w:val="32"/>
        </w:rPr>
      </w:pPr>
      <w:r>
        <w:rPr>
          <w:rStyle w:val="7"/>
          <w:rFonts w:hint="eastAsia" w:ascii="仿宋" w:hAnsi="仿宋" w:eastAsia="仿宋" w:cs="仿宋"/>
          <w:b w:val="0"/>
          <w:sz w:val="32"/>
          <w:szCs w:val="32"/>
        </w:rPr>
        <w:t>3、《减罚清单》包括对“工程施工单位未编制建筑垃圾处理方案报备案……”等5个较轻违法行为的减轻处罚事项的规定。</w:t>
      </w:r>
    </w:p>
    <w:p w14:paraId="66CC6C49">
      <w:pPr>
        <w:pStyle w:val="4"/>
        <w:shd w:val="clear" w:color="auto" w:fill="FFFFFF"/>
        <w:spacing w:line="560" w:lineRule="exact"/>
        <w:ind w:firstLine="640" w:firstLineChars="200"/>
        <w:rPr>
          <w:rStyle w:val="7"/>
          <w:rFonts w:ascii="仿宋" w:hAnsi="仿宋" w:eastAsia="仿宋" w:cs="仿宋"/>
          <w:b w:val="0"/>
          <w:sz w:val="32"/>
          <w:szCs w:val="32"/>
        </w:rPr>
      </w:pPr>
      <w:r>
        <w:rPr>
          <w:rStyle w:val="7"/>
          <w:rFonts w:hint="eastAsia" w:ascii="仿宋" w:hAnsi="仿宋" w:eastAsia="仿宋" w:cs="仿宋"/>
          <w:b w:val="0"/>
          <w:sz w:val="32"/>
          <w:szCs w:val="32"/>
        </w:rPr>
        <w:t>4、《免罚清单》包括对“空调器的冷却水未接入排水系统，凌空排放的”等8个轻微违法行为不予行政处罚事项的规定。</w:t>
      </w:r>
    </w:p>
    <w:p w14:paraId="7AE92A15">
      <w:pPr>
        <w:pStyle w:val="4"/>
        <w:shd w:val="clear" w:color="auto" w:fill="FFFFFF"/>
        <w:spacing w:line="560" w:lineRule="exact"/>
        <w:ind w:firstLine="640" w:firstLineChars="200"/>
        <w:rPr>
          <w:rStyle w:val="7"/>
          <w:rFonts w:ascii="仿宋" w:hAnsi="仿宋" w:eastAsia="仿宋" w:cs="仿宋"/>
          <w:b w:val="0"/>
          <w:sz w:val="32"/>
          <w:szCs w:val="32"/>
        </w:rPr>
      </w:pPr>
      <w:r>
        <w:rPr>
          <w:rStyle w:val="7"/>
          <w:rFonts w:hint="eastAsia" w:ascii="仿宋" w:hAnsi="仿宋" w:eastAsia="仿宋" w:cs="仿宋"/>
          <w:b w:val="0"/>
          <w:sz w:val="32"/>
          <w:szCs w:val="32"/>
        </w:rPr>
        <w:t>5、《地段范围》将全市范围内地段明确划分为“严格监管地段”“主要监管地段”和“普通地段”。</w:t>
      </w:r>
    </w:p>
    <w:p w14:paraId="2EC8CF04">
      <w:pPr>
        <w:pStyle w:val="4"/>
        <w:numPr>
          <w:ilvl w:val="0"/>
          <w:numId w:val="2"/>
        </w:numPr>
        <w:shd w:val="clear" w:color="auto" w:fill="FFFFFF"/>
        <w:spacing w:line="560" w:lineRule="exact"/>
        <w:rPr>
          <w:rStyle w:val="7"/>
          <w:rFonts w:ascii="仿宋" w:hAnsi="仿宋" w:eastAsia="仿宋" w:cs="仿宋"/>
          <w:color w:val="000000"/>
          <w:sz w:val="32"/>
          <w:szCs w:val="32"/>
        </w:rPr>
      </w:pPr>
      <w:r>
        <w:rPr>
          <w:rStyle w:val="7"/>
          <w:rFonts w:hint="eastAsia" w:ascii="仿宋" w:hAnsi="仿宋" w:eastAsia="仿宋" w:cs="仿宋"/>
          <w:color w:val="000000"/>
          <w:sz w:val="32"/>
          <w:szCs w:val="32"/>
        </w:rPr>
        <w:t>《规定》及其附件的主要修定依据</w:t>
      </w:r>
    </w:p>
    <w:p w14:paraId="1EBE7FF8">
      <w:pPr>
        <w:pStyle w:val="4"/>
        <w:shd w:val="clear" w:color="auto" w:fill="FFFFFF"/>
        <w:spacing w:line="560" w:lineRule="exact"/>
        <w:ind w:left="645"/>
        <w:rPr>
          <w:rStyle w:val="7"/>
          <w:rFonts w:ascii="仿宋" w:hAnsi="仿宋" w:eastAsia="仿宋" w:cs="仿宋"/>
          <w:b w:val="0"/>
          <w:color w:val="000000"/>
          <w:sz w:val="32"/>
          <w:szCs w:val="32"/>
        </w:rPr>
      </w:pPr>
      <w:r>
        <w:rPr>
          <w:rStyle w:val="7"/>
          <w:rFonts w:hint="eastAsia" w:ascii="仿宋" w:hAnsi="仿宋" w:eastAsia="仿宋" w:cs="仿宋"/>
          <w:b w:val="0"/>
          <w:color w:val="000000"/>
          <w:sz w:val="32"/>
          <w:szCs w:val="32"/>
        </w:rPr>
        <w:t>1、修订《规定》的主要依据：</w:t>
      </w:r>
    </w:p>
    <w:p w14:paraId="1C2392EA">
      <w:pPr>
        <w:pStyle w:val="4"/>
        <w:shd w:val="clear" w:color="auto" w:fill="FFFFFF"/>
        <w:spacing w:line="560" w:lineRule="exact"/>
        <w:ind w:firstLine="640" w:firstLineChars="200"/>
        <w:rPr>
          <w:rStyle w:val="7"/>
          <w:rFonts w:ascii="仿宋" w:hAnsi="仿宋" w:eastAsia="仿宋" w:cs="仿宋"/>
          <w:b w:val="0"/>
          <w:color w:val="000000"/>
          <w:sz w:val="32"/>
          <w:szCs w:val="32"/>
        </w:rPr>
      </w:pPr>
      <w:r>
        <w:rPr>
          <w:rStyle w:val="7"/>
          <w:rFonts w:hint="eastAsia" w:ascii="仿宋" w:hAnsi="仿宋" w:eastAsia="仿宋" w:cs="仿宋"/>
          <w:b w:val="0"/>
          <w:color w:val="000000"/>
          <w:sz w:val="32"/>
          <w:szCs w:val="32"/>
        </w:rPr>
        <w:t>（1）《</w:t>
      </w:r>
      <w:r>
        <w:rPr>
          <w:rFonts w:hint="eastAsia" w:ascii="仿宋" w:hAnsi="仿宋" w:eastAsia="仿宋" w:cs="仿宋"/>
          <w:color w:val="000000"/>
          <w:sz w:val="32"/>
          <w:szCs w:val="32"/>
        </w:rPr>
        <w:t>中华人民共和国</w:t>
      </w:r>
      <w:r>
        <w:rPr>
          <w:rStyle w:val="7"/>
          <w:rFonts w:hint="eastAsia" w:ascii="仿宋" w:hAnsi="仿宋" w:eastAsia="仿宋" w:cs="仿宋"/>
          <w:b w:val="0"/>
          <w:color w:val="000000"/>
          <w:sz w:val="32"/>
          <w:szCs w:val="32"/>
        </w:rPr>
        <w:t>行政处罚法》；</w:t>
      </w:r>
    </w:p>
    <w:p w14:paraId="0E28D574">
      <w:pPr>
        <w:pStyle w:val="4"/>
        <w:shd w:val="clear" w:color="auto" w:fill="FFFFFF"/>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（2）《广东省行政执法责任制条例》；</w:t>
      </w:r>
    </w:p>
    <w:p w14:paraId="6133BBD4">
      <w:pPr>
        <w:pStyle w:val="4"/>
        <w:shd w:val="clear" w:color="auto" w:fill="FFFFFF"/>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（3）《广东省规范行政处罚自由裁量权规定》：</w:t>
      </w:r>
    </w:p>
    <w:p w14:paraId="54CB3FDF">
      <w:pPr>
        <w:pStyle w:val="4"/>
        <w:shd w:val="clear" w:color="auto" w:fill="FFFFFF"/>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（4）《汕头市规范行政执法自由裁量权规定》；</w:t>
      </w:r>
    </w:p>
    <w:p w14:paraId="77C542BC">
      <w:pPr>
        <w:pStyle w:val="4"/>
        <w:shd w:val="clear" w:color="auto" w:fill="FFFFFF"/>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w:t>
      </w:r>
      <w:r>
        <w:rPr>
          <w:rFonts w:hint="eastAsia"/>
          <w:bCs/>
          <w:sz w:val="32"/>
        </w:rPr>
        <w:t>《国务院办公厅关于进一步规范行政裁量权基准制度和管理工作的意见》（国办发</w:t>
      </w:r>
      <w:r>
        <w:rPr>
          <w:rFonts w:hint="eastAsia" w:ascii="仿宋" w:hAnsi="仿宋" w:eastAsia="仿宋" w:cs="仿宋"/>
          <w:color w:val="000000"/>
          <w:sz w:val="32"/>
          <w:szCs w:val="32"/>
        </w:rPr>
        <w:t>﹝2022）27</w:t>
      </w:r>
      <w:r>
        <w:rPr>
          <w:rFonts w:hint="eastAsia"/>
          <w:bCs/>
          <w:sz w:val="32"/>
        </w:rPr>
        <w:t>）（以下简称“《裁量意见》”）</w:t>
      </w:r>
      <w:r>
        <w:rPr>
          <w:rFonts w:hint="eastAsia" w:ascii="仿宋" w:hAnsi="仿宋" w:eastAsia="仿宋" w:cs="仿宋"/>
          <w:color w:val="000000"/>
          <w:sz w:val="32"/>
          <w:szCs w:val="32"/>
        </w:rPr>
        <w:t>。</w:t>
      </w:r>
    </w:p>
    <w:p w14:paraId="0E8C6CDA">
      <w:pPr>
        <w:pStyle w:val="4"/>
        <w:shd w:val="clear" w:color="auto" w:fill="FFFFFF"/>
        <w:spacing w:line="560" w:lineRule="exact"/>
        <w:ind w:left="5"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2、修订《基准表》，制定《减罚清单》、《免罚清单》的主要依据包括《中华人民共和国固体废物污染环境防治法》等37部法律法规规章。</w:t>
      </w:r>
    </w:p>
    <w:p w14:paraId="0ACBA6B0">
      <w:pPr>
        <w:spacing w:line="560" w:lineRule="exact"/>
        <w:ind w:firstLine="645"/>
        <w:rPr>
          <w:rFonts w:ascii="仿宋" w:hAnsi="仿宋" w:eastAsia="仿宋"/>
          <w:bCs/>
          <w:szCs w:val="32"/>
        </w:rPr>
      </w:pPr>
      <w:r>
        <w:rPr>
          <w:rFonts w:hint="eastAsia" w:ascii="仿宋" w:hAnsi="仿宋" w:eastAsia="仿宋" w:cs="仿宋"/>
          <w:color w:val="000000"/>
          <w:szCs w:val="32"/>
        </w:rPr>
        <w:t>3、</w:t>
      </w:r>
      <w:r>
        <w:rPr>
          <w:rFonts w:hint="eastAsia" w:ascii="仿宋" w:hAnsi="仿宋" w:eastAsia="仿宋"/>
          <w:bCs/>
          <w:szCs w:val="32"/>
        </w:rPr>
        <w:t>《地段范围》制定的主要依据是《汕头市中心城区地名专项规划（2014-2020）》、《汕头市澄海区地名专项规划（2014-2020）》和《南澳县地名专项规划（2015-2030）》。</w:t>
      </w:r>
    </w:p>
    <w:p w14:paraId="7F5EB692">
      <w:pPr>
        <w:pStyle w:val="4"/>
        <w:shd w:val="clear" w:color="auto" w:fill="FFFFFF"/>
        <w:spacing w:line="560" w:lineRule="exact"/>
        <w:ind w:left="5" w:firstLine="643" w:firstLineChars="200"/>
        <w:rPr>
          <w:rFonts w:ascii="仿宋" w:hAnsi="仿宋" w:eastAsia="仿宋" w:cs="仿宋"/>
          <w:color w:val="000000"/>
          <w:sz w:val="32"/>
          <w:szCs w:val="32"/>
        </w:rPr>
      </w:pPr>
      <w:r>
        <w:rPr>
          <w:rStyle w:val="7"/>
          <w:rFonts w:hint="eastAsia" w:ascii="黑体" w:hAnsi="黑体" w:eastAsia="黑体" w:cs="黑体"/>
          <w:bCs w:val="0"/>
          <w:color w:val="000000"/>
          <w:sz w:val="32"/>
          <w:szCs w:val="32"/>
        </w:rPr>
        <w:t>三、《规定》及其附件修订的主要内容</w:t>
      </w:r>
    </w:p>
    <w:p w14:paraId="6FC96BFA">
      <w:pPr>
        <w:pStyle w:val="4"/>
        <w:shd w:val="clear" w:color="auto" w:fill="FFFFFF"/>
        <w:spacing w:line="560" w:lineRule="exact"/>
        <w:ind w:left="645"/>
        <w:rPr>
          <w:rStyle w:val="7"/>
          <w:rFonts w:ascii="仿宋" w:hAnsi="仿宋" w:eastAsia="仿宋" w:cs="仿宋"/>
          <w:color w:val="000000"/>
          <w:sz w:val="32"/>
          <w:szCs w:val="32"/>
        </w:rPr>
      </w:pPr>
      <w:r>
        <w:rPr>
          <w:rStyle w:val="7"/>
          <w:rFonts w:hint="eastAsia" w:ascii="仿宋" w:hAnsi="仿宋" w:eastAsia="仿宋" w:cs="仿宋"/>
          <w:color w:val="000000"/>
          <w:sz w:val="32"/>
          <w:szCs w:val="32"/>
        </w:rPr>
        <w:t>（一）《规定》修订的主要内容</w:t>
      </w:r>
    </w:p>
    <w:p w14:paraId="401C3F69">
      <w:pPr>
        <w:widowControl/>
        <w:shd w:val="clear" w:color="auto" w:fill="FFFFFF"/>
        <w:adjustRightInd w:val="0"/>
        <w:snapToGrid w:val="0"/>
        <w:spacing w:line="560" w:lineRule="exact"/>
        <w:ind w:firstLine="660"/>
        <w:rPr>
          <w:rStyle w:val="7"/>
          <w:rFonts w:ascii="仿宋" w:hAnsi="仿宋" w:eastAsia="仿宋" w:cs="仿宋"/>
          <w:b w:val="0"/>
          <w:color w:val="000000"/>
          <w:szCs w:val="32"/>
        </w:rPr>
      </w:pPr>
      <w:r>
        <w:rPr>
          <w:rStyle w:val="7"/>
          <w:rFonts w:hint="eastAsia" w:ascii="仿宋" w:hAnsi="仿宋" w:eastAsia="仿宋" w:cs="仿宋"/>
          <w:b w:val="0"/>
          <w:color w:val="000000"/>
          <w:szCs w:val="32"/>
        </w:rPr>
        <w:t>1、根据《广东省行政规范性文件管理规定》第十一条第二款规定“部门规范性文件的标题应当冠以制定机关名称”，将原《汕头市城市管理综合执法规范行政处罚自由裁量权规定》名称修改为《规定》。</w:t>
      </w:r>
    </w:p>
    <w:p w14:paraId="65876EF1">
      <w:pPr>
        <w:widowControl/>
        <w:shd w:val="clear" w:color="auto" w:fill="FFFFFF"/>
        <w:adjustRightInd w:val="0"/>
        <w:snapToGrid w:val="0"/>
        <w:spacing w:line="560" w:lineRule="exact"/>
        <w:ind w:firstLine="660"/>
        <w:rPr>
          <w:rStyle w:val="7"/>
          <w:rFonts w:ascii="仿宋" w:hAnsi="仿宋" w:eastAsia="仿宋" w:cs="仿宋"/>
          <w:b w:val="0"/>
          <w:color w:val="000000"/>
          <w:szCs w:val="32"/>
        </w:rPr>
      </w:pPr>
      <w:r>
        <w:rPr>
          <w:rStyle w:val="7"/>
          <w:rFonts w:hint="eastAsia" w:ascii="仿宋" w:hAnsi="仿宋" w:eastAsia="仿宋" w:cs="仿宋"/>
          <w:b w:val="0"/>
          <w:color w:val="000000"/>
          <w:szCs w:val="32"/>
        </w:rPr>
        <w:t>2、对《规定》规范的对象进一步明确。根据</w:t>
      </w:r>
      <w:r>
        <w:rPr>
          <w:rFonts w:hint="eastAsia" w:ascii="仿宋" w:hAnsi="仿宋" w:eastAsia="仿宋" w:cs="仿宋"/>
          <w:color w:val="000000"/>
          <w:szCs w:val="32"/>
        </w:rPr>
        <w:t>国务院《裁量意见》</w:t>
      </w:r>
      <w:r>
        <w:rPr>
          <w:rStyle w:val="7"/>
          <w:rFonts w:hint="eastAsia" w:ascii="仿宋" w:hAnsi="仿宋" w:eastAsia="仿宋" w:cs="仿宋"/>
          <w:b w:val="0"/>
          <w:color w:val="000000"/>
          <w:szCs w:val="32"/>
        </w:rPr>
        <w:t>内容，“省、自治区、直辖市和设区的市、自治州人民政府及其部门可以依照法律、法规、规章以及上级行政机关制定的行政裁量权基准，制定本行政区域内的行政裁量权基准。县级人民政府及其部门可以在法定范围内，对上级行政机关制定的行政裁量权基准适用的标准、条件、种类、幅度、方式、时限予以合理细化量化”，因此，修订后的《规定》第二条第一款修改为“</w:t>
      </w:r>
      <w:r>
        <w:rPr>
          <w:rFonts w:hint="eastAsia" w:ascii="仿宋" w:hAnsi="仿宋" w:eastAsia="仿宋" w:cs="仿宋"/>
          <w:color w:val="000000"/>
          <w:kern w:val="0"/>
          <w:szCs w:val="32"/>
        </w:rPr>
        <w:t>本规定适用于汕头市各</w:t>
      </w:r>
      <w:r>
        <w:rPr>
          <w:rStyle w:val="7"/>
          <w:rFonts w:hint="eastAsia"/>
          <w:b w:val="0"/>
        </w:rPr>
        <w:t>级</w:t>
      </w:r>
      <w:r>
        <w:rPr>
          <w:rStyle w:val="7"/>
          <w:rFonts w:hint="eastAsia" w:ascii="仿宋" w:hAnsi="仿宋" w:eastAsia="仿宋" w:cs="仿宋"/>
          <w:b w:val="0"/>
          <w:color w:val="000000"/>
        </w:rPr>
        <w:t>城市管理和综合执法机关 (以下统称“执法机关”)</w:t>
      </w:r>
      <w:r>
        <w:rPr>
          <w:rStyle w:val="7"/>
          <w:rFonts w:hint="eastAsia"/>
          <w:b w:val="0"/>
        </w:rPr>
        <w:t>在开展城市管理综合执法行政处罚工作中实施自由裁量权的活动</w:t>
      </w:r>
      <w:r>
        <w:rPr>
          <w:rFonts w:hint="eastAsia" w:ascii="仿宋" w:hAnsi="仿宋" w:eastAsia="仿宋" w:cs="仿宋"/>
          <w:color w:val="000000"/>
          <w:kern w:val="0"/>
          <w:szCs w:val="32"/>
        </w:rPr>
        <w:t>。</w:t>
      </w:r>
      <w:r>
        <w:rPr>
          <w:rStyle w:val="7"/>
          <w:rFonts w:hint="eastAsia" w:ascii="仿宋" w:hAnsi="仿宋" w:eastAsia="仿宋" w:cs="仿宋"/>
          <w:b w:val="0"/>
          <w:color w:val="000000"/>
          <w:szCs w:val="32"/>
        </w:rPr>
        <w:t>”并增加 “依据省、市、区（县）各级政府公告承接城市管理综合执法行政处罚职能的乡镇人民政府、街道办事处行使行政处罚自由裁量权，</w:t>
      </w:r>
      <w:r>
        <w:rPr>
          <w:rFonts w:hint="eastAsia" w:ascii="仿宋" w:hAnsi="仿宋" w:eastAsia="仿宋"/>
          <w:szCs w:val="32"/>
        </w:rPr>
        <w:t>可以结合当地区（县）人民政府及其部门关于行政处罚自由裁量权的要求执行本规定</w:t>
      </w:r>
      <w:r>
        <w:rPr>
          <w:rStyle w:val="7"/>
          <w:rFonts w:hint="eastAsia" w:ascii="仿宋" w:hAnsi="仿宋" w:eastAsia="仿宋" w:cs="仿宋"/>
          <w:b w:val="0"/>
          <w:color w:val="000000"/>
          <w:szCs w:val="32"/>
        </w:rPr>
        <w:t>。”</w:t>
      </w:r>
    </w:p>
    <w:p w14:paraId="601D4A80">
      <w:pPr>
        <w:pStyle w:val="4"/>
        <w:shd w:val="clear" w:color="auto" w:fill="FFFFFF"/>
        <w:spacing w:line="560" w:lineRule="exact"/>
        <w:ind w:firstLine="640" w:firstLineChars="200"/>
        <w:rPr>
          <w:rStyle w:val="7"/>
          <w:rFonts w:ascii="仿宋" w:hAnsi="仿宋" w:eastAsia="仿宋" w:cs="仿宋"/>
          <w:b w:val="0"/>
          <w:color w:val="000000"/>
          <w:kern w:val="2"/>
          <w:sz w:val="32"/>
          <w:szCs w:val="32"/>
        </w:rPr>
      </w:pPr>
      <w:r>
        <w:rPr>
          <w:rStyle w:val="7"/>
          <w:rFonts w:hint="eastAsia" w:ascii="仿宋" w:hAnsi="仿宋" w:eastAsia="仿宋" w:cs="仿宋"/>
          <w:b w:val="0"/>
          <w:color w:val="000000"/>
          <w:sz w:val="32"/>
          <w:szCs w:val="32"/>
        </w:rPr>
        <w:t>3、由于新修订的《规定》增加《减罚清单》《免罚清单》和</w:t>
      </w:r>
      <w:r>
        <w:rPr>
          <w:rStyle w:val="7"/>
          <w:rFonts w:hint="eastAsia" w:ascii="仿宋" w:hAnsi="仿宋" w:eastAsia="仿宋" w:cs="仿宋"/>
          <w:b w:val="0"/>
          <w:color w:val="000000"/>
          <w:kern w:val="2"/>
          <w:sz w:val="32"/>
          <w:szCs w:val="32"/>
        </w:rPr>
        <w:t>《地段范围》三个附件，在《规定》的第十六条中增加了对包括《基准表》在内的四个附件主要内容的表述。</w:t>
      </w:r>
    </w:p>
    <w:p w14:paraId="6AC1975B">
      <w:pPr>
        <w:pStyle w:val="4"/>
        <w:shd w:val="clear" w:color="auto" w:fill="FFFFFF"/>
        <w:spacing w:line="560" w:lineRule="exact"/>
        <w:ind w:firstLine="640" w:firstLineChars="200"/>
        <w:rPr>
          <w:rStyle w:val="7"/>
          <w:rFonts w:ascii="仿宋" w:hAnsi="仿宋" w:eastAsia="仿宋" w:cs="仿宋"/>
          <w:b w:val="0"/>
          <w:color w:val="000000"/>
          <w:kern w:val="2"/>
          <w:sz w:val="32"/>
          <w:szCs w:val="32"/>
        </w:rPr>
      </w:pPr>
      <w:r>
        <w:rPr>
          <w:rStyle w:val="7"/>
          <w:rFonts w:hint="eastAsia" w:ascii="仿宋" w:hAnsi="仿宋" w:eastAsia="仿宋" w:cs="仿宋"/>
          <w:b w:val="0"/>
          <w:color w:val="000000"/>
          <w:kern w:val="2"/>
          <w:sz w:val="32"/>
          <w:szCs w:val="32"/>
        </w:rPr>
        <w:t>4、鉴于</w:t>
      </w:r>
      <w:r>
        <w:rPr>
          <w:rStyle w:val="7"/>
          <w:rFonts w:hint="eastAsia" w:ascii="仿宋" w:hAnsi="仿宋" w:eastAsia="仿宋" w:cs="仿宋"/>
          <w:b w:val="0"/>
          <w:color w:val="000000"/>
          <w:kern w:val="2"/>
          <w:sz w:val="32"/>
          <w:szCs w:val="32"/>
          <w:lang w:eastAsia="zh-CN"/>
        </w:rPr>
        <w:t>《中华人民共和国行政处罚法》</w:t>
      </w:r>
      <w:r>
        <w:rPr>
          <w:rStyle w:val="7"/>
          <w:rFonts w:hint="eastAsia" w:ascii="仿宋" w:hAnsi="仿宋" w:eastAsia="仿宋" w:cs="仿宋"/>
          <w:b w:val="0"/>
          <w:bCs w:val="0"/>
          <w:color w:val="000000"/>
          <w:kern w:val="2"/>
          <w:sz w:val="32"/>
          <w:szCs w:val="32"/>
        </w:rPr>
        <w:t>第二十九条</w:t>
      </w:r>
      <w:r>
        <w:rPr>
          <w:rStyle w:val="7"/>
          <w:rFonts w:hint="eastAsia" w:ascii="仿宋" w:hAnsi="仿宋" w:eastAsia="仿宋" w:cs="仿宋"/>
          <w:b w:val="0"/>
          <w:color w:val="000000"/>
          <w:kern w:val="2"/>
          <w:sz w:val="32"/>
          <w:szCs w:val="32"/>
        </w:rPr>
        <w:t>明确规定：“同一个违法行为违反多个法律规范应当给予罚款处罚的，按照罚款数额高的规定处罚。”《规定》删去原第十九条关于法规竞合适用的规定，根据国务院的《裁量意见》，修订为：“对同一行政执法事项，上级行政主管部门已经制定行政处罚裁量权基准的，下级行政机关原则上应直接适用。”“下级行政机关制定的行政裁量权基准与上级行政机关制定的有冲突的，应适用上级行政机关制定的行政裁量权基准。”。</w:t>
      </w:r>
    </w:p>
    <w:p w14:paraId="55C384AC">
      <w:pPr>
        <w:pStyle w:val="4"/>
        <w:shd w:val="clear" w:color="auto" w:fill="FFFFFF"/>
        <w:spacing w:line="560" w:lineRule="exact"/>
        <w:ind w:firstLine="640" w:firstLineChars="200"/>
        <w:rPr>
          <w:rStyle w:val="7"/>
          <w:rFonts w:ascii="仿宋" w:hAnsi="仿宋" w:eastAsia="仿宋" w:cs="仿宋"/>
          <w:b w:val="0"/>
          <w:color w:val="000000"/>
          <w:kern w:val="2"/>
          <w:sz w:val="32"/>
          <w:szCs w:val="32"/>
        </w:rPr>
      </w:pPr>
      <w:r>
        <w:rPr>
          <w:rStyle w:val="7"/>
          <w:rFonts w:hint="eastAsia" w:ascii="仿宋" w:hAnsi="仿宋" w:eastAsia="仿宋" w:cs="仿宋"/>
          <w:b w:val="0"/>
          <w:color w:val="000000"/>
          <w:kern w:val="2"/>
          <w:sz w:val="32"/>
          <w:szCs w:val="32"/>
        </w:rPr>
        <w:t>5、针对新的法规出台后，尚未制定自由裁量权基准的违法事项如何行使行政处罚自由裁量权的问题，《规定》新增加了一条作为第二十条，规定：“对于违法行为需要依据新颁布实施的法律法规规章作为执法依据，但该法律法规规章尚未出台自由裁量权基准的，应当按照本规定第八到第十五条的规定进行裁量，并参考《基准表》和《地段范围》中的相关内容，明确裁量档次，经执法机关负责人集体讨论决定裁量结果。”</w:t>
      </w:r>
    </w:p>
    <w:p w14:paraId="70FDF243">
      <w:pPr>
        <w:pStyle w:val="4"/>
        <w:shd w:val="clear" w:color="auto" w:fill="FFFFFF"/>
        <w:spacing w:line="560" w:lineRule="exact"/>
        <w:ind w:firstLine="643" w:firstLineChars="200"/>
        <w:rPr>
          <w:rStyle w:val="7"/>
          <w:rFonts w:ascii="仿宋" w:hAnsi="仿宋" w:eastAsia="仿宋" w:cs="仿宋"/>
          <w:color w:val="000000"/>
          <w:kern w:val="2"/>
          <w:sz w:val="32"/>
          <w:szCs w:val="32"/>
        </w:rPr>
      </w:pPr>
      <w:r>
        <w:rPr>
          <w:rStyle w:val="7"/>
          <w:rFonts w:hint="eastAsia" w:ascii="仿宋" w:hAnsi="仿宋" w:eastAsia="仿宋" w:cs="仿宋"/>
          <w:color w:val="000000"/>
          <w:kern w:val="2"/>
          <w:sz w:val="32"/>
          <w:szCs w:val="32"/>
        </w:rPr>
        <w:t>（二）《基准表》修订的主要内容</w:t>
      </w:r>
    </w:p>
    <w:p w14:paraId="283CB65F">
      <w:pPr>
        <w:pStyle w:val="4"/>
        <w:shd w:val="clear" w:color="auto" w:fill="FFFFFF"/>
        <w:spacing w:line="560" w:lineRule="exact"/>
        <w:ind w:firstLine="640" w:firstLineChars="200"/>
        <w:rPr>
          <w:rStyle w:val="7"/>
          <w:rFonts w:ascii="仿宋" w:hAnsi="仿宋" w:eastAsia="仿宋" w:cs="仿宋"/>
          <w:b w:val="0"/>
          <w:color w:val="000000"/>
          <w:kern w:val="2"/>
          <w:sz w:val="32"/>
          <w:szCs w:val="32"/>
        </w:rPr>
      </w:pPr>
      <w:r>
        <w:rPr>
          <w:rStyle w:val="7"/>
          <w:rFonts w:hint="eastAsia" w:ascii="仿宋" w:hAnsi="仿宋" w:eastAsia="仿宋" w:cs="仿宋"/>
          <w:b w:val="0"/>
          <w:color w:val="000000"/>
          <w:kern w:val="2"/>
          <w:sz w:val="32"/>
          <w:szCs w:val="32"/>
        </w:rPr>
        <w:t>1、根据2022年新法规的出台和相关法规规章修订等情况对《基准表》内容进行补充完善。一是增加《汕头经济特区户外广告设施和招牌设置管理条例》《汕头经济特区城市景观照明条例》和《汕头经济特区建筑外立面管理规定》三个2022年新出台的法规中行政处罚事项的自由裁量权基准；二是根据新修订的《汕头经济特区住宅专项维修资金管理办法》《城镇污水排入排水管网许可管理办法》修改了相关行政处罚事项的自由裁量基准；三是考虑到《汕头经济特区户外广告设施和招牌设置管理条例》出台后，</w:t>
      </w:r>
      <w:r>
        <w:rPr>
          <w:rFonts w:hint="eastAsia" w:ascii="仿宋" w:hAnsi="仿宋" w:eastAsia="仿宋"/>
          <w:sz w:val="32"/>
          <w:szCs w:val="32"/>
        </w:rPr>
        <w:t>《汕头经济特区户外广告设施和招牌设置管理规定》即将废止，因此本次修订先将后者有关内容删除；四是考虑到</w:t>
      </w:r>
      <w:r>
        <w:rPr>
          <w:rStyle w:val="7"/>
          <w:rFonts w:hint="eastAsia" w:ascii="仿宋" w:hAnsi="仿宋" w:eastAsia="仿宋" w:cs="仿宋"/>
          <w:b w:val="0"/>
          <w:color w:val="000000"/>
          <w:kern w:val="2"/>
          <w:sz w:val="32"/>
          <w:szCs w:val="32"/>
        </w:rPr>
        <w:t>《汕头经济特区华侨房地产权益保护办法》中规定的执法部门为国土房产部门，暂不将该法规纳入城管综合执法的自由裁量基权准表中。</w:t>
      </w:r>
    </w:p>
    <w:p w14:paraId="24DB609C">
      <w:pPr>
        <w:pStyle w:val="4"/>
        <w:shd w:val="clear" w:color="auto" w:fill="FFFFFF"/>
        <w:spacing w:line="560" w:lineRule="exact"/>
        <w:ind w:firstLine="640" w:firstLineChars="200"/>
        <w:rPr>
          <w:rStyle w:val="7"/>
          <w:rFonts w:ascii="仿宋" w:hAnsi="仿宋" w:eastAsia="仿宋" w:cs="仿宋"/>
          <w:b w:val="0"/>
          <w:color w:val="000000"/>
          <w:sz w:val="32"/>
          <w:szCs w:val="32"/>
        </w:rPr>
      </w:pPr>
      <w:r>
        <w:rPr>
          <w:rStyle w:val="7"/>
          <w:rFonts w:hint="eastAsia" w:ascii="仿宋" w:hAnsi="仿宋" w:eastAsia="仿宋" w:cs="仿宋"/>
          <w:b w:val="0"/>
          <w:color w:val="000000"/>
          <w:sz w:val="32"/>
          <w:szCs w:val="32"/>
        </w:rPr>
        <w:t>2、为方便基层执法队伍上线广东省一体化行政执法平台办案，《基准表》中根据广东省政务服务事项管理系统内容，增加了每个执法事项的基本编码和事项名称。</w:t>
      </w:r>
    </w:p>
    <w:p w14:paraId="7B5619DB">
      <w:pPr>
        <w:pStyle w:val="4"/>
        <w:shd w:val="clear" w:color="auto" w:fill="FFFFFF"/>
        <w:spacing w:line="560" w:lineRule="exact"/>
        <w:ind w:firstLine="640" w:firstLineChars="200"/>
        <w:rPr>
          <w:rStyle w:val="7"/>
          <w:rFonts w:ascii="仿宋" w:hAnsi="仿宋" w:eastAsia="仿宋" w:cs="仿宋"/>
          <w:b w:val="0"/>
          <w:color w:val="000000"/>
          <w:sz w:val="32"/>
          <w:szCs w:val="32"/>
        </w:rPr>
      </w:pPr>
      <w:r>
        <w:rPr>
          <w:rStyle w:val="7"/>
          <w:rFonts w:hint="eastAsia" w:ascii="仿宋" w:hAnsi="仿宋" w:eastAsia="仿宋" w:cs="仿宋"/>
          <w:b w:val="0"/>
          <w:color w:val="000000"/>
          <w:sz w:val="32"/>
          <w:szCs w:val="32"/>
        </w:rPr>
        <w:t>3、根据</w:t>
      </w:r>
      <w:r>
        <w:rPr>
          <w:rStyle w:val="7"/>
          <w:rFonts w:hint="eastAsia" w:ascii="仿宋" w:hAnsi="仿宋" w:eastAsia="仿宋" w:cs="仿宋"/>
          <w:b w:val="0"/>
          <w:color w:val="000000"/>
          <w:kern w:val="2"/>
          <w:sz w:val="32"/>
          <w:szCs w:val="32"/>
          <w:lang w:eastAsia="zh-CN"/>
        </w:rPr>
        <w:t>《中华人民共和国行政处罚法》</w:t>
      </w:r>
      <w:r>
        <w:rPr>
          <w:rStyle w:val="7"/>
          <w:rFonts w:hint="eastAsia" w:ascii="仿宋" w:hAnsi="仿宋" w:eastAsia="仿宋" w:cs="仿宋"/>
          <w:b w:val="0"/>
          <w:color w:val="000000"/>
          <w:kern w:val="2"/>
          <w:sz w:val="32"/>
          <w:szCs w:val="32"/>
        </w:rPr>
        <w:t>第二十九条关于从一重法处罚的规定，《基准表》中对同一违法行为违反多个法律规范应当给予罚款处罚的，只保留罚款数额最高的规定，将其余的法律规范删除。</w:t>
      </w:r>
    </w:p>
    <w:p w14:paraId="4DF516C4">
      <w:pPr>
        <w:pStyle w:val="4"/>
        <w:shd w:val="clear" w:color="auto" w:fill="FFFFFF"/>
        <w:spacing w:line="560" w:lineRule="exact"/>
        <w:ind w:firstLine="640" w:firstLineChars="200"/>
        <w:rPr>
          <w:rStyle w:val="7"/>
          <w:rFonts w:ascii="仿宋" w:hAnsi="仿宋" w:eastAsia="仿宋" w:cs="仿宋"/>
          <w:b w:val="0"/>
          <w:color w:val="000000"/>
          <w:sz w:val="32"/>
          <w:szCs w:val="32"/>
        </w:rPr>
      </w:pPr>
      <w:r>
        <w:rPr>
          <w:rStyle w:val="7"/>
          <w:rFonts w:hint="eastAsia" w:ascii="仿宋" w:hAnsi="仿宋" w:eastAsia="仿宋" w:cs="仿宋"/>
          <w:b w:val="0"/>
          <w:color w:val="000000"/>
          <w:sz w:val="32"/>
          <w:szCs w:val="32"/>
        </w:rPr>
        <w:t>4、经全面梳理进一步统一从轻、一般和从重的划分标准：一是根据法条规定的内容，个别执法事项增加了“加重”档次，如市容部分第28和29项和市政部分第19项；二是将法条规定“责令改正，给予警告；逾期不改正或者造成严重后果”再处以罚款的，统一将从轻档次的处罚内容设为单处警告，一般档次和从重档次处罚内容设为警告加罚款，修改的内容主要包括市政方面部分违反排水法规规章的执法事项、绿化方面部分违反《汕头经济特区公园广场条例》和住建方面部分违反《汕头经济特区商品房销售条例》有关规定的执法事项。</w:t>
      </w:r>
    </w:p>
    <w:p w14:paraId="41501614">
      <w:pPr>
        <w:pStyle w:val="4"/>
        <w:shd w:val="clear" w:color="auto" w:fill="FFFFFF"/>
        <w:spacing w:line="560" w:lineRule="exact"/>
        <w:ind w:firstLine="640" w:firstLineChars="200"/>
        <w:rPr>
          <w:rStyle w:val="7"/>
          <w:rFonts w:ascii="仿宋" w:hAnsi="仿宋" w:eastAsia="仿宋" w:cs="仿宋"/>
          <w:b w:val="0"/>
          <w:color w:val="000000"/>
          <w:sz w:val="32"/>
          <w:szCs w:val="32"/>
        </w:rPr>
      </w:pPr>
      <w:r>
        <w:rPr>
          <w:rStyle w:val="7"/>
          <w:rFonts w:hint="eastAsia" w:ascii="仿宋" w:hAnsi="仿宋" w:eastAsia="仿宋" w:cs="仿宋"/>
          <w:b w:val="0"/>
          <w:color w:val="000000"/>
          <w:sz w:val="32"/>
          <w:szCs w:val="32"/>
        </w:rPr>
        <w:t>5、鉴于《地段范围》中“严格监管地段”和“主要监管地段”与市、区（县）民政部门出台的</w:t>
      </w:r>
      <w:r>
        <w:rPr>
          <w:rFonts w:hint="eastAsia" w:ascii="仿宋" w:hAnsi="仿宋" w:eastAsia="仿宋"/>
          <w:bCs/>
          <w:sz w:val="32"/>
          <w:szCs w:val="32"/>
        </w:rPr>
        <w:t>地名专项规划中的“主干道”和“次干道”并不完全重合，且潮阳区和潮南区尚未出台地名专项规划，为避免产生歧义，</w:t>
      </w:r>
      <w:r>
        <w:rPr>
          <w:rStyle w:val="7"/>
          <w:rFonts w:hint="eastAsia" w:ascii="仿宋" w:hAnsi="仿宋" w:eastAsia="仿宋" w:cs="仿宋"/>
          <w:b w:val="0"/>
          <w:color w:val="000000"/>
          <w:sz w:val="32"/>
          <w:szCs w:val="32"/>
        </w:rPr>
        <w:t>《基准表》裁量情节中“</w:t>
      </w:r>
      <w:r>
        <w:rPr>
          <w:rStyle w:val="7"/>
          <w:rFonts w:hint="eastAsia" w:ascii="仿宋" w:hAnsi="仿宋" w:eastAsia="仿宋" w:cs="仿宋"/>
          <w:b w:val="0"/>
          <w:sz w:val="32"/>
          <w:szCs w:val="32"/>
        </w:rPr>
        <w:t>主要道路、重点地区</w:t>
      </w:r>
      <w:r>
        <w:rPr>
          <w:rStyle w:val="7"/>
          <w:rFonts w:hint="eastAsia" w:ascii="仿宋" w:hAnsi="仿宋" w:eastAsia="仿宋" w:cs="仿宋"/>
          <w:b w:val="0"/>
          <w:color w:val="000000"/>
          <w:sz w:val="32"/>
          <w:szCs w:val="32"/>
        </w:rPr>
        <w:t>”修改为“严格监管地段”，“次干道”修改为“主要监管地段”，“其他地区”修改为“普通地段”。</w:t>
      </w:r>
    </w:p>
    <w:p w14:paraId="2EF179E0">
      <w:pPr>
        <w:pStyle w:val="4"/>
        <w:shd w:val="clear" w:color="auto" w:fill="FFFFFF"/>
        <w:spacing w:line="560" w:lineRule="exact"/>
        <w:ind w:firstLine="640" w:firstLineChars="200"/>
        <w:rPr>
          <w:rStyle w:val="7"/>
          <w:rFonts w:ascii="仿宋" w:hAnsi="仿宋" w:eastAsia="仿宋" w:cs="仿宋"/>
          <w:b w:val="0"/>
          <w:color w:val="000000"/>
          <w:sz w:val="32"/>
          <w:szCs w:val="32"/>
        </w:rPr>
      </w:pPr>
      <w:r>
        <w:rPr>
          <w:rStyle w:val="7"/>
          <w:rFonts w:hint="eastAsia" w:ascii="仿宋" w:hAnsi="仿宋" w:eastAsia="仿宋" w:cs="仿宋"/>
          <w:b w:val="0"/>
          <w:color w:val="000000"/>
          <w:sz w:val="32"/>
          <w:szCs w:val="32"/>
        </w:rPr>
        <w:t>6、根据市各级城管综合执法队伍反馈的意见，《基准表》中对个别事项裁量情节进行修订，包括一是增加规定对“个人任意倾倒、堆放建筑垃圾的”和“配备使用符合标准的运输车辆密闭化运输生活垃圾，在运输过程中滴漏污水的”两个执法事项的自由裁量基准；二是对“未经批准擅自占用城市道路及其他公共场所堆放物品、设摊经营、兜售商品的”和“擅自占用或者挖掘道路，或者挖掘道路不办理批准手续的”两个违法事项的自由裁量情节进行调整。</w:t>
      </w:r>
    </w:p>
    <w:p w14:paraId="0BFA4D94">
      <w:pPr>
        <w:pStyle w:val="4"/>
        <w:shd w:val="clear" w:color="auto" w:fill="FFFFFF"/>
        <w:spacing w:line="560" w:lineRule="exact"/>
        <w:ind w:firstLine="643" w:firstLineChars="200"/>
        <w:rPr>
          <w:rStyle w:val="7"/>
          <w:rFonts w:ascii="仿宋" w:hAnsi="仿宋" w:eastAsia="仿宋" w:cs="仿宋"/>
          <w:color w:val="000000"/>
          <w:sz w:val="32"/>
          <w:szCs w:val="32"/>
        </w:rPr>
      </w:pPr>
      <w:r>
        <w:rPr>
          <w:rStyle w:val="7"/>
          <w:rFonts w:hint="eastAsia" w:ascii="仿宋" w:hAnsi="仿宋" w:eastAsia="仿宋" w:cs="仿宋"/>
          <w:color w:val="000000"/>
          <w:sz w:val="32"/>
          <w:szCs w:val="32"/>
        </w:rPr>
        <w:t>（三）《减罚清单》制定的主要内容</w:t>
      </w:r>
    </w:p>
    <w:p w14:paraId="25BF138E">
      <w:pPr>
        <w:spacing w:line="560" w:lineRule="exact"/>
        <w:ind w:firstLine="645"/>
        <w:rPr>
          <w:rFonts w:ascii="仿宋" w:hAnsi="仿宋" w:eastAsia="仿宋"/>
          <w:bCs/>
          <w:szCs w:val="32"/>
        </w:rPr>
      </w:pPr>
      <w:r>
        <w:rPr>
          <w:rFonts w:hint="eastAsia" w:ascii="仿宋" w:hAnsi="仿宋" w:eastAsia="仿宋"/>
          <w:bCs/>
          <w:szCs w:val="32"/>
        </w:rPr>
        <w:t>根据行政处罚过罚相当的原则，结合执法队伍反映，个别法律法规条文设定的处罚金额比较高，在违法行为较轻，社会危害性较小，纠错成本较低的情况下，对当事人从轻处罚仍会出现量罚偏重的情形，根据</w:t>
      </w:r>
      <w:r>
        <w:rPr>
          <w:rFonts w:hint="eastAsia" w:ascii="仿宋" w:hAnsi="仿宋" w:eastAsia="仿宋"/>
          <w:bCs/>
          <w:szCs w:val="32"/>
          <w:lang w:eastAsia="zh-CN"/>
        </w:rPr>
        <w:t>《中华人民共和国行政处罚法》</w:t>
      </w:r>
      <w:r>
        <w:rPr>
          <w:rFonts w:hint="eastAsia" w:ascii="仿宋" w:hAnsi="仿宋" w:eastAsia="仿宋"/>
          <w:bCs/>
          <w:szCs w:val="32"/>
        </w:rPr>
        <w:t>第三十二条的规定，对</w:t>
      </w:r>
      <w:r>
        <w:rPr>
          <w:rStyle w:val="7"/>
          <w:rFonts w:hint="eastAsia" w:ascii="仿宋" w:hAnsi="仿宋" w:eastAsia="仿宋" w:cs="仿宋"/>
          <w:b w:val="0"/>
          <w:szCs w:val="32"/>
        </w:rPr>
        <w:t>“工程施工单位未编制建筑垃圾处理方案报备案……”等</w:t>
      </w:r>
      <w:r>
        <w:rPr>
          <w:rFonts w:hint="eastAsia" w:ascii="仿宋" w:hAnsi="仿宋" w:eastAsia="仿宋"/>
          <w:bCs/>
          <w:szCs w:val="32"/>
        </w:rPr>
        <w:t>5个违法事项设定了减轻处罚的裁量情节，规定符合裁量情节的，可以对当事人减轻行政处罚。</w:t>
      </w:r>
    </w:p>
    <w:p w14:paraId="006266BB">
      <w:pPr>
        <w:spacing w:line="560" w:lineRule="exact"/>
        <w:ind w:firstLine="645"/>
        <w:rPr>
          <w:rFonts w:ascii="仿宋" w:hAnsi="仿宋" w:eastAsia="仿宋"/>
          <w:b/>
          <w:bCs/>
          <w:szCs w:val="32"/>
        </w:rPr>
      </w:pPr>
      <w:r>
        <w:rPr>
          <w:rFonts w:hint="eastAsia" w:ascii="仿宋" w:hAnsi="仿宋" w:eastAsia="仿宋"/>
          <w:b/>
          <w:bCs/>
          <w:szCs w:val="32"/>
        </w:rPr>
        <w:t>（四）《免罚清单》制定的主要内容</w:t>
      </w:r>
    </w:p>
    <w:p w14:paraId="49951A58">
      <w:pPr>
        <w:spacing w:line="560" w:lineRule="exact"/>
        <w:ind w:firstLine="645"/>
        <w:rPr>
          <w:rFonts w:ascii="仿宋" w:hAnsi="仿宋" w:eastAsia="仿宋"/>
          <w:bCs/>
          <w:szCs w:val="32"/>
        </w:rPr>
      </w:pPr>
      <w:r>
        <w:rPr>
          <w:rFonts w:hint="eastAsia" w:ascii="仿宋" w:hAnsi="仿宋" w:eastAsia="仿宋"/>
          <w:bCs/>
          <w:szCs w:val="32"/>
        </w:rPr>
        <w:t>根据</w:t>
      </w:r>
      <w:r>
        <w:rPr>
          <w:rFonts w:hint="eastAsia" w:ascii="仿宋" w:hAnsi="仿宋" w:eastAsia="仿宋"/>
          <w:bCs/>
          <w:szCs w:val="32"/>
          <w:lang w:eastAsia="zh-CN"/>
        </w:rPr>
        <w:t>《中华人民共和国行政处罚法》</w:t>
      </w:r>
      <w:r>
        <w:rPr>
          <w:rFonts w:hint="eastAsia" w:ascii="仿宋" w:hAnsi="仿宋" w:eastAsia="仿宋"/>
          <w:bCs/>
          <w:szCs w:val="32"/>
        </w:rPr>
        <w:t>第三十三条的规定，违法行为轻微并及时改正，没有造成危害后果的，不予行政处罚。初次违法且危害后果轻微并及时改正的，可以不予行政处罚。《免罚清单》遵循行政处罚过罚相当的原则，结合执法实践对“将排水管道的污水直接排向路面”等8个违法行为轻微，社会危害性很小，纠错成本较低的执法事项，设定了不予行政处罚的裁量情节，规定符合裁量情节的，可以不予行政处罚。</w:t>
      </w:r>
    </w:p>
    <w:p w14:paraId="7A60D7DA">
      <w:pPr>
        <w:spacing w:line="560" w:lineRule="exact"/>
        <w:ind w:firstLine="645"/>
        <w:rPr>
          <w:rFonts w:ascii="仿宋" w:hAnsi="仿宋" w:eastAsia="仿宋"/>
          <w:b/>
          <w:bCs/>
          <w:szCs w:val="32"/>
        </w:rPr>
      </w:pPr>
      <w:r>
        <w:rPr>
          <w:rFonts w:hint="eastAsia" w:ascii="仿宋" w:hAnsi="仿宋" w:eastAsia="仿宋"/>
          <w:b/>
          <w:bCs/>
          <w:szCs w:val="32"/>
        </w:rPr>
        <w:t>（五）《地段范围》制定的主要内容</w:t>
      </w:r>
    </w:p>
    <w:p w14:paraId="13C00610">
      <w:pPr>
        <w:spacing w:line="560" w:lineRule="exact"/>
        <w:ind w:firstLine="645"/>
        <w:rPr>
          <w:rStyle w:val="7"/>
          <w:rFonts w:ascii="仿宋" w:hAnsi="仿宋" w:eastAsia="仿宋" w:cs="仿宋"/>
          <w:b w:val="0"/>
          <w:color w:val="000000"/>
          <w:szCs w:val="32"/>
        </w:rPr>
      </w:pPr>
      <w:r>
        <w:rPr>
          <w:rFonts w:hint="eastAsia" w:ascii="仿宋" w:hAnsi="仿宋" w:eastAsia="仿宋"/>
          <w:bCs/>
          <w:szCs w:val="32"/>
        </w:rPr>
        <w:t>《地段范围》中金平、龙湖、濠江、澄海区和南澳县的</w:t>
      </w:r>
      <w:r>
        <w:rPr>
          <w:rFonts w:hint="eastAsia" w:ascii="仿宋" w:hAnsi="仿宋" w:eastAsia="仿宋"/>
          <w:szCs w:val="32"/>
        </w:rPr>
        <w:t>严格监管地段、主要监管地段和普通地段范围主要是在</w:t>
      </w:r>
      <w:r>
        <w:rPr>
          <w:rFonts w:hint="eastAsia" w:ascii="仿宋" w:hAnsi="仿宋" w:eastAsia="仿宋"/>
          <w:bCs/>
          <w:szCs w:val="32"/>
        </w:rPr>
        <w:t>《汕头市中心城区地名专项规划（2014-2020）》、《汕头市澄海区地名专项规划（2014-2020）》和《南澳县地名专项规划（2015-2030）》中的相关</w:t>
      </w:r>
      <w:r>
        <w:rPr>
          <w:rFonts w:hint="eastAsia" w:ascii="仿宋" w:hAnsi="仿宋" w:eastAsia="仿宋"/>
          <w:szCs w:val="32"/>
        </w:rPr>
        <w:t>主要道路和次干道</w:t>
      </w:r>
      <w:r>
        <w:rPr>
          <w:rFonts w:hint="eastAsia" w:ascii="仿宋" w:hAnsi="仿宋" w:eastAsia="仿宋"/>
          <w:bCs/>
          <w:szCs w:val="32"/>
        </w:rPr>
        <w:t>内容的基础上，结合各区（县）城管综合执法工作实际情况而确定。潮阳区和潮南区因尚未制定地名专项规划，其</w:t>
      </w:r>
      <w:r>
        <w:rPr>
          <w:rFonts w:hint="eastAsia" w:ascii="仿宋" w:hAnsi="仿宋" w:eastAsia="仿宋"/>
          <w:szCs w:val="32"/>
        </w:rPr>
        <w:t>严格监管地段、主要监管地段和普通地段范围主要由其城市管理和综合执法部门结合工作实际情况确定。</w:t>
      </w:r>
      <w:r>
        <w:rPr>
          <w:rStyle w:val="7"/>
          <w:rFonts w:hint="eastAsia" w:ascii="仿宋" w:hAnsi="仿宋" w:eastAsia="仿宋" w:cs="仿宋"/>
          <w:b w:val="0"/>
          <w:szCs w:val="32"/>
        </w:rPr>
        <w:t>根据《规定》第十六条第四款规定</w:t>
      </w:r>
      <w:r>
        <w:rPr>
          <w:rFonts w:hint="eastAsia"/>
          <w:bCs/>
        </w:rPr>
        <w:t>“</w:t>
      </w:r>
      <w:r>
        <w:rPr>
          <w:rFonts w:hint="eastAsia" w:ascii="仿宋" w:hAnsi="仿宋" w:eastAsia="仿宋"/>
          <w:szCs w:val="32"/>
        </w:rPr>
        <w:t>对于发生在严格监管地段、主要监管地段和普通地段的违法行为分别适用从重、一般和从轻处罚”，《地段范围》其主要内容是执法机关开展行政处罚自由裁量考虑的情节之一。</w:t>
      </w:r>
    </w:p>
    <w:p w14:paraId="51BA3680">
      <w:pPr>
        <w:pStyle w:val="4"/>
        <w:numPr>
          <w:ilvl w:val="0"/>
          <w:numId w:val="3"/>
        </w:numPr>
        <w:shd w:val="clear" w:color="auto" w:fill="FFFFFF"/>
        <w:spacing w:line="560" w:lineRule="exact"/>
        <w:ind w:hanging="11"/>
        <w:rPr>
          <w:rStyle w:val="7"/>
          <w:rFonts w:ascii="黑体" w:hAnsi="黑体" w:eastAsia="黑体" w:cs="黑体"/>
          <w:bCs w:val="0"/>
          <w:color w:val="000000"/>
          <w:sz w:val="32"/>
          <w:szCs w:val="32"/>
        </w:rPr>
      </w:pPr>
      <w:r>
        <w:rPr>
          <w:rStyle w:val="7"/>
          <w:rFonts w:hint="eastAsia" w:ascii="黑体" w:hAnsi="黑体" w:eastAsia="黑体" w:cs="黑体"/>
          <w:bCs w:val="0"/>
          <w:color w:val="000000"/>
          <w:sz w:val="32"/>
          <w:szCs w:val="32"/>
        </w:rPr>
        <w:t>关于征求意见建议的情况</w:t>
      </w:r>
    </w:p>
    <w:p w14:paraId="5DE4A348">
      <w:pPr>
        <w:pStyle w:val="4"/>
        <w:shd w:val="clear" w:color="auto" w:fill="FFFFFF"/>
        <w:spacing w:line="560" w:lineRule="exact"/>
        <w:ind w:firstLine="642"/>
        <w:rPr>
          <w:rFonts w:ascii="仿宋_GB2312"/>
          <w:szCs w:val="32"/>
        </w:rPr>
      </w:pPr>
      <w:r>
        <w:rPr>
          <w:rFonts w:hint="eastAsia" w:ascii="仿宋_GB2312"/>
          <w:sz w:val="32"/>
          <w:szCs w:val="32"/>
        </w:rPr>
        <w:t>《规定》及其附件于2022年10月11日在市城管局网站公布向社会征求意见建议，并同时发文向各区（县）人民政府和市住建局、自然资源局等相关单位，以及各区（县）城管局共23个单位征求意见建议，并根据相关单位的意见对《规定》进行修改完善。</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8CD0">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3F4AFC5">
                <w:pPr>
                  <w:pStyle w:val="2"/>
                  <w:rPr>
                    <w:rFonts w:eastAsia="仿宋_GB2312"/>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D624C"/>
    <w:multiLevelType w:val="multilevel"/>
    <w:tmpl w:val="0E9D624C"/>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5085381"/>
    <w:multiLevelType w:val="multilevel"/>
    <w:tmpl w:val="55085381"/>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7C8A054C"/>
    <w:multiLevelType w:val="multilevel"/>
    <w:tmpl w:val="7C8A054C"/>
    <w:lvl w:ilvl="0" w:tentative="0">
      <w:start w:val="1"/>
      <w:numFmt w:val="japaneseCounting"/>
      <w:lvlText w:val="（%1）"/>
      <w:lvlJc w:val="left"/>
      <w:pPr>
        <w:ind w:left="1725" w:hanging="108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2E63"/>
    <w:rsid w:val="00014479"/>
    <w:rsid w:val="00022DB6"/>
    <w:rsid w:val="00023B27"/>
    <w:rsid w:val="000262AF"/>
    <w:rsid w:val="00026AD4"/>
    <w:rsid w:val="00044163"/>
    <w:rsid w:val="00047F66"/>
    <w:rsid w:val="00056155"/>
    <w:rsid w:val="00056B3A"/>
    <w:rsid w:val="00066FC8"/>
    <w:rsid w:val="0007320F"/>
    <w:rsid w:val="00087D82"/>
    <w:rsid w:val="00096C66"/>
    <w:rsid w:val="000B11D0"/>
    <w:rsid w:val="000B2C01"/>
    <w:rsid w:val="000B4EAE"/>
    <w:rsid w:val="000B5DFE"/>
    <w:rsid w:val="000C04B9"/>
    <w:rsid w:val="000E4EFD"/>
    <w:rsid w:val="0011620F"/>
    <w:rsid w:val="00121711"/>
    <w:rsid w:val="00141B92"/>
    <w:rsid w:val="00145315"/>
    <w:rsid w:val="00152CA8"/>
    <w:rsid w:val="0016131B"/>
    <w:rsid w:val="00161CC9"/>
    <w:rsid w:val="00162CD5"/>
    <w:rsid w:val="00163537"/>
    <w:rsid w:val="00171E28"/>
    <w:rsid w:val="00175517"/>
    <w:rsid w:val="00192493"/>
    <w:rsid w:val="00195DEF"/>
    <w:rsid w:val="0019678E"/>
    <w:rsid w:val="001A7ADB"/>
    <w:rsid w:val="001B7800"/>
    <w:rsid w:val="001D4A18"/>
    <w:rsid w:val="001F49BE"/>
    <w:rsid w:val="001F62BA"/>
    <w:rsid w:val="001F6DD1"/>
    <w:rsid w:val="00201545"/>
    <w:rsid w:val="002047A7"/>
    <w:rsid w:val="00205666"/>
    <w:rsid w:val="0020691A"/>
    <w:rsid w:val="00215EB6"/>
    <w:rsid w:val="00231233"/>
    <w:rsid w:val="00244F93"/>
    <w:rsid w:val="00252E8E"/>
    <w:rsid w:val="00261066"/>
    <w:rsid w:val="00262B05"/>
    <w:rsid w:val="0026516B"/>
    <w:rsid w:val="0026540E"/>
    <w:rsid w:val="00267F63"/>
    <w:rsid w:val="00270171"/>
    <w:rsid w:val="00272A51"/>
    <w:rsid w:val="002876BC"/>
    <w:rsid w:val="00287F22"/>
    <w:rsid w:val="00290AD5"/>
    <w:rsid w:val="00292FB0"/>
    <w:rsid w:val="00296748"/>
    <w:rsid w:val="00296A39"/>
    <w:rsid w:val="00296CE3"/>
    <w:rsid w:val="002A1F83"/>
    <w:rsid w:val="002A63DD"/>
    <w:rsid w:val="002B037C"/>
    <w:rsid w:val="002B4960"/>
    <w:rsid w:val="002D114D"/>
    <w:rsid w:val="002E2C10"/>
    <w:rsid w:val="002F6FC6"/>
    <w:rsid w:val="00307AD9"/>
    <w:rsid w:val="00307E33"/>
    <w:rsid w:val="00327C1E"/>
    <w:rsid w:val="00350DAF"/>
    <w:rsid w:val="00351DE0"/>
    <w:rsid w:val="003523A8"/>
    <w:rsid w:val="00381C9C"/>
    <w:rsid w:val="003821CA"/>
    <w:rsid w:val="00386691"/>
    <w:rsid w:val="003931C0"/>
    <w:rsid w:val="003A0616"/>
    <w:rsid w:val="003A2BE7"/>
    <w:rsid w:val="003B152A"/>
    <w:rsid w:val="003B6AA8"/>
    <w:rsid w:val="003C0C5F"/>
    <w:rsid w:val="003C2E63"/>
    <w:rsid w:val="003C40BB"/>
    <w:rsid w:val="003C6433"/>
    <w:rsid w:val="003C6B80"/>
    <w:rsid w:val="0040515C"/>
    <w:rsid w:val="00425540"/>
    <w:rsid w:val="0044147E"/>
    <w:rsid w:val="00442512"/>
    <w:rsid w:val="0045667D"/>
    <w:rsid w:val="0046130A"/>
    <w:rsid w:val="00472FA9"/>
    <w:rsid w:val="00474457"/>
    <w:rsid w:val="00482145"/>
    <w:rsid w:val="00495190"/>
    <w:rsid w:val="004A279D"/>
    <w:rsid w:val="004A3D7B"/>
    <w:rsid w:val="004A4756"/>
    <w:rsid w:val="004A775A"/>
    <w:rsid w:val="004C3073"/>
    <w:rsid w:val="004F3563"/>
    <w:rsid w:val="004F57F9"/>
    <w:rsid w:val="00514A33"/>
    <w:rsid w:val="00532FAE"/>
    <w:rsid w:val="00540713"/>
    <w:rsid w:val="00547C4B"/>
    <w:rsid w:val="00550925"/>
    <w:rsid w:val="00571C9A"/>
    <w:rsid w:val="0057300E"/>
    <w:rsid w:val="005826D8"/>
    <w:rsid w:val="00586651"/>
    <w:rsid w:val="005914A8"/>
    <w:rsid w:val="005B644A"/>
    <w:rsid w:val="005B77BF"/>
    <w:rsid w:val="005D385C"/>
    <w:rsid w:val="005D3B7D"/>
    <w:rsid w:val="005E51D8"/>
    <w:rsid w:val="005F7397"/>
    <w:rsid w:val="005F7F0A"/>
    <w:rsid w:val="00605541"/>
    <w:rsid w:val="00610D4E"/>
    <w:rsid w:val="0063455C"/>
    <w:rsid w:val="0064363B"/>
    <w:rsid w:val="006504BE"/>
    <w:rsid w:val="006571D2"/>
    <w:rsid w:val="006634E6"/>
    <w:rsid w:val="00665A11"/>
    <w:rsid w:val="00665A59"/>
    <w:rsid w:val="00665CD7"/>
    <w:rsid w:val="006672A8"/>
    <w:rsid w:val="0067160F"/>
    <w:rsid w:val="00672CDD"/>
    <w:rsid w:val="00674D57"/>
    <w:rsid w:val="00695AC1"/>
    <w:rsid w:val="006968B3"/>
    <w:rsid w:val="006C267D"/>
    <w:rsid w:val="006D555D"/>
    <w:rsid w:val="006D58D2"/>
    <w:rsid w:val="00702A68"/>
    <w:rsid w:val="00702FF3"/>
    <w:rsid w:val="007074F9"/>
    <w:rsid w:val="00711368"/>
    <w:rsid w:val="0071367B"/>
    <w:rsid w:val="00717E56"/>
    <w:rsid w:val="00721DA0"/>
    <w:rsid w:val="00724F9C"/>
    <w:rsid w:val="007275C8"/>
    <w:rsid w:val="007327CF"/>
    <w:rsid w:val="007379DC"/>
    <w:rsid w:val="0074693D"/>
    <w:rsid w:val="00746F1A"/>
    <w:rsid w:val="007530FF"/>
    <w:rsid w:val="00760D33"/>
    <w:rsid w:val="0076164E"/>
    <w:rsid w:val="0076523A"/>
    <w:rsid w:val="00771B0C"/>
    <w:rsid w:val="00771D99"/>
    <w:rsid w:val="00777857"/>
    <w:rsid w:val="007865D9"/>
    <w:rsid w:val="007907A3"/>
    <w:rsid w:val="00796984"/>
    <w:rsid w:val="007A215C"/>
    <w:rsid w:val="007A52D6"/>
    <w:rsid w:val="007B39A6"/>
    <w:rsid w:val="007B7569"/>
    <w:rsid w:val="007D7D6A"/>
    <w:rsid w:val="007E05B7"/>
    <w:rsid w:val="007E590E"/>
    <w:rsid w:val="007F1DC4"/>
    <w:rsid w:val="00805CA2"/>
    <w:rsid w:val="00810044"/>
    <w:rsid w:val="008102D0"/>
    <w:rsid w:val="00813AEA"/>
    <w:rsid w:val="00815BCE"/>
    <w:rsid w:val="008212F1"/>
    <w:rsid w:val="008226DB"/>
    <w:rsid w:val="008251C5"/>
    <w:rsid w:val="00827F9A"/>
    <w:rsid w:val="00831961"/>
    <w:rsid w:val="00846F43"/>
    <w:rsid w:val="0085160E"/>
    <w:rsid w:val="00854C36"/>
    <w:rsid w:val="0085531E"/>
    <w:rsid w:val="0086356E"/>
    <w:rsid w:val="008668F2"/>
    <w:rsid w:val="008809C7"/>
    <w:rsid w:val="00883B0D"/>
    <w:rsid w:val="00884663"/>
    <w:rsid w:val="00897CDC"/>
    <w:rsid w:val="008A1271"/>
    <w:rsid w:val="008B295C"/>
    <w:rsid w:val="008B7F86"/>
    <w:rsid w:val="008D3D4E"/>
    <w:rsid w:val="008D525F"/>
    <w:rsid w:val="008E2169"/>
    <w:rsid w:val="008E2655"/>
    <w:rsid w:val="008E541C"/>
    <w:rsid w:val="00915A4A"/>
    <w:rsid w:val="0092380F"/>
    <w:rsid w:val="00943877"/>
    <w:rsid w:val="00946080"/>
    <w:rsid w:val="00946E3F"/>
    <w:rsid w:val="00965FCB"/>
    <w:rsid w:val="009761BF"/>
    <w:rsid w:val="009A78F2"/>
    <w:rsid w:val="009C1AAD"/>
    <w:rsid w:val="009E0125"/>
    <w:rsid w:val="009E16AC"/>
    <w:rsid w:val="009E6EA9"/>
    <w:rsid w:val="009F3AB2"/>
    <w:rsid w:val="00A0179A"/>
    <w:rsid w:val="00A02CBB"/>
    <w:rsid w:val="00A06916"/>
    <w:rsid w:val="00A1213E"/>
    <w:rsid w:val="00A23BFC"/>
    <w:rsid w:val="00A25A25"/>
    <w:rsid w:val="00A32C2C"/>
    <w:rsid w:val="00A33708"/>
    <w:rsid w:val="00A50452"/>
    <w:rsid w:val="00A50DF8"/>
    <w:rsid w:val="00A6265D"/>
    <w:rsid w:val="00A6267C"/>
    <w:rsid w:val="00A71664"/>
    <w:rsid w:val="00A71E07"/>
    <w:rsid w:val="00A841C7"/>
    <w:rsid w:val="00AA1D00"/>
    <w:rsid w:val="00AA33A0"/>
    <w:rsid w:val="00AC7D8E"/>
    <w:rsid w:val="00AD73D5"/>
    <w:rsid w:val="00AE0278"/>
    <w:rsid w:val="00AF043E"/>
    <w:rsid w:val="00AF2E2C"/>
    <w:rsid w:val="00B03820"/>
    <w:rsid w:val="00B04FAD"/>
    <w:rsid w:val="00B11B7D"/>
    <w:rsid w:val="00B17468"/>
    <w:rsid w:val="00B30EE5"/>
    <w:rsid w:val="00B35100"/>
    <w:rsid w:val="00B3701A"/>
    <w:rsid w:val="00B579D2"/>
    <w:rsid w:val="00B65F2E"/>
    <w:rsid w:val="00B663C4"/>
    <w:rsid w:val="00B72850"/>
    <w:rsid w:val="00B86364"/>
    <w:rsid w:val="00B95548"/>
    <w:rsid w:val="00BA38D1"/>
    <w:rsid w:val="00BA6B17"/>
    <w:rsid w:val="00BB3D10"/>
    <w:rsid w:val="00BB6A46"/>
    <w:rsid w:val="00BC1DD2"/>
    <w:rsid w:val="00BC1F3C"/>
    <w:rsid w:val="00BC377F"/>
    <w:rsid w:val="00BC56EC"/>
    <w:rsid w:val="00BC586B"/>
    <w:rsid w:val="00BD2CEC"/>
    <w:rsid w:val="00BD3CEB"/>
    <w:rsid w:val="00BE3CC6"/>
    <w:rsid w:val="00BE3ED7"/>
    <w:rsid w:val="00BF31C1"/>
    <w:rsid w:val="00C00690"/>
    <w:rsid w:val="00C16C32"/>
    <w:rsid w:val="00C27A7B"/>
    <w:rsid w:val="00C35DFB"/>
    <w:rsid w:val="00C36DEF"/>
    <w:rsid w:val="00C44BED"/>
    <w:rsid w:val="00C50DCC"/>
    <w:rsid w:val="00C54417"/>
    <w:rsid w:val="00C619FA"/>
    <w:rsid w:val="00C65D05"/>
    <w:rsid w:val="00C70F7E"/>
    <w:rsid w:val="00C7390A"/>
    <w:rsid w:val="00C7517B"/>
    <w:rsid w:val="00C8505D"/>
    <w:rsid w:val="00C932A7"/>
    <w:rsid w:val="00CA5A48"/>
    <w:rsid w:val="00CD6A27"/>
    <w:rsid w:val="00CD74AD"/>
    <w:rsid w:val="00CE24F3"/>
    <w:rsid w:val="00CE4064"/>
    <w:rsid w:val="00D03B75"/>
    <w:rsid w:val="00D253C1"/>
    <w:rsid w:val="00D3471F"/>
    <w:rsid w:val="00D536E9"/>
    <w:rsid w:val="00D70557"/>
    <w:rsid w:val="00D71226"/>
    <w:rsid w:val="00D95B11"/>
    <w:rsid w:val="00DB03C6"/>
    <w:rsid w:val="00DD01C4"/>
    <w:rsid w:val="00DE06D3"/>
    <w:rsid w:val="00DE19AD"/>
    <w:rsid w:val="00E010C9"/>
    <w:rsid w:val="00E0416C"/>
    <w:rsid w:val="00E052B2"/>
    <w:rsid w:val="00E07C9C"/>
    <w:rsid w:val="00E104F0"/>
    <w:rsid w:val="00E21FE7"/>
    <w:rsid w:val="00E44362"/>
    <w:rsid w:val="00E456B1"/>
    <w:rsid w:val="00E50AEA"/>
    <w:rsid w:val="00E55A67"/>
    <w:rsid w:val="00E62322"/>
    <w:rsid w:val="00E65BA4"/>
    <w:rsid w:val="00E666CD"/>
    <w:rsid w:val="00E67743"/>
    <w:rsid w:val="00E735FB"/>
    <w:rsid w:val="00E73992"/>
    <w:rsid w:val="00E8311C"/>
    <w:rsid w:val="00E94EDE"/>
    <w:rsid w:val="00E962C2"/>
    <w:rsid w:val="00EA13F2"/>
    <w:rsid w:val="00EA1B62"/>
    <w:rsid w:val="00ED3AF6"/>
    <w:rsid w:val="00ED5DFE"/>
    <w:rsid w:val="00EF3A6B"/>
    <w:rsid w:val="00F038E4"/>
    <w:rsid w:val="00F130F2"/>
    <w:rsid w:val="00F13973"/>
    <w:rsid w:val="00F1452F"/>
    <w:rsid w:val="00F1682D"/>
    <w:rsid w:val="00F450BE"/>
    <w:rsid w:val="00F46E2D"/>
    <w:rsid w:val="00F64DF6"/>
    <w:rsid w:val="00F74028"/>
    <w:rsid w:val="00F74E62"/>
    <w:rsid w:val="00F80969"/>
    <w:rsid w:val="00F828BC"/>
    <w:rsid w:val="00F83C35"/>
    <w:rsid w:val="00F92A57"/>
    <w:rsid w:val="00F94D56"/>
    <w:rsid w:val="00F96224"/>
    <w:rsid w:val="00F9658F"/>
    <w:rsid w:val="00FA6FB2"/>
    <w:rsid w:val="00FC55F6"/>
    <w:rsid w:val="00FF64FD"/>
    <w:rsid w:val="02D968E0"/>
    <w:rsid w:val="0F0C6CBF"/>
    <w:rsid w:val="1356473F"/>
    <w:rsid w:val="1A7B382E"/>
    <w:rsid w:val="2CCE1285"/>
    <w:rsid w:val="2E0D528F"/>
    <w:rsid w:val="39D7D198"/>
    <w:rsid w:val="3E615F07"/>
    <w:rsid w:val="48CB5936"/>
    <w:rsid w:val="48F6174F"/>
    <w:rsid w:val="55730BD4"/>
    <w:rsid w:val="584931A2"/>
    <w:rsid w:val="677E12ED"/>
    <w:rsid w:val="7D6422A6"/>
    <w:rsid w:val="A7FBCC0E"/>
    <w:rsid w:val="B6D78ED4"/>
    <w:rsid w:val="F1F2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spacing w:line="240" w:lineRule="auto"/>
      <w:jc w:val="left"/>
    </w:pPr>
    <w:rPr>
      <w:rFonts w:eastAsiaTheme="minorEastAsia"/>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spacing w:line="240" w:lineRule="auto"/>
      <w:jc w:val="center"/>
    </w:pPr>
    <w:rPr>
      <w:rFonts w:eastAsiaTheme="minorEastAsia"/>
      <w:sz w:val="18"/>
      <w:szCs w:val="18"/>
    </w:rPr>
  </w:style>
  <w:style w:type="paragraph" w:styleId="4">
    <w:name w:val="Normal (Web)"/>
    <w:basedOn w:val="1"/>
    <w:qFormat/>
    <w:uiPriority w:val="0"/>
    <w:rPr>
      <w:rFonts w:cs="Times New Roman"/>
      <w:kern w:val="0"/>
      <w:sz w:val="24"/>
    </w:rPr>
  </w:style>
  <w:style w:type="character" w:styleId="7">
    <w:name w:val="Strong"/>
    <w:basedOn w:val="6"/>
    <w:qFormat/>
    <w:uiPriority w:val="0"/>
    <w:rPr>
      <w:b/>
      <w:bCs/>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4206C4-566B-4A89-BC6D-0F3ED86D971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4007</Words>
  <Characters>4083</Characters>
  <Lines>29</Lines>
  <Paragraphs>8</Paragraphs>
  <TotalTime>650</TotalTime>
  <ScaleCrop>false</ScaleCrop>
  <LinksUpToDate>false</LinksUpToDate>
  <CharactersWithSpaces>4085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2022-11-01T01:52:00Z</dcterms:created>
  <dc:creator>user</dc:creator>
  <cp:lastModifiedBy>田喜碧´s王子</cp:lastModifiedBy>
  <cp:lastPrinted>2023-02-06T07:43:00Z</cp:lastPrinted>
  <dcterms:modified xsi:type="dcterms:W3CDTF">2025-12-17T02:47:26Z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eyJoZGlkIjoiNjk4NzlkYTVmYmRmNDJhMTE1Nzg0OWYyNGUwYmE2ZDEiLCJ1c2VySWQiOiIzNzQ2MDkzMDkifQ==</vt:lpwstr>
  </property>
  <property fmtid="{D5CDD505-2E9C-101B-9397-08002B2CF9AE}" pid="4" name="ICV">
    <vt:lpwstr>68398CBBF598438E8FA74499164312B1_12</vt:lpwstr>
  </property>
</Properties>
</file>