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26"/>
          <w:szCs w:val="26"/>
        </w:rPr>
      </w:pPr>
      <w:r>
        <mc:AlternateContent>
          <mc:Choice Requires="wps">
            <w:drawing>
              <wp:anchor distT="0" distB="0" distL="114300" distR="114300" simplePos="0" relativeHeight="251659264" behindDoc="0" locked="0" layoutInCell="1" allowOverlap="1">
                <wp:simplePos x="0" y="0"/>
                <wp:positionH relativeFrom="column">
                  <wp:posOffset>3183255</wp:posOffset>
                </wp:positionH>
                <wp:positionV relativeFrom="page">
                  <wp:posOffset>514350</wp:posOffset>
                </wp:positionV>
                <wp:extent cx="7096125" cy="5575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096125"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方正小标宋简体" w:eastAsia="方正小标宋简体"/>
                                <w:sz w:val="44"/>
                                <w:szCs w:val="44"/>
                              </w:rPr>
                            </w:pPr>
                            <w:r>
                              <w:rPr>
                                <w:rFonts w:hint="eastAsia" w:ascii="方正小标宋简体" w:eastAsia="方正小标宋简体"/>
                                <w:sz w:val="44"/>
                                <w:szCs w:val="44"/>
                              </w:rPr>
                              <w:t>汕头市绿色建筑设计说明专篇示范文本（202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年版）</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0.65pt;margin-top:40.5pt;height:43.9pt;width:558.75pt;mso-position-vertical-relative:page;z-index:251659264;mso-width-relative:page;mso-height-relative:page;" filled="f" stroked="f" coordsize="21600,21600" o:gfxdata="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Xj+LttkAAAALAQAADwAAAAAAAAABACAAAAA4&#10;AAAAZHJzL2Rvd25yZXYueG1sUEsBAhQAFAAAAAgAh07iQCB8FKssAgAAOAQAAA4AAAAAAAAAAQAg&#10;AAAAPgEAAGRycy9lMm9Eb2MueG1sUEsFBgAAAAAGAAYAWQEAANwFAAAAAA==&#10;">
                <v:fill on="f" focussize="0,0"/>
                <v:stroke on="f" weight="0.5pt"/>
                <v:imagedata o:title=""/>
                <o:lock v:ext="edit" aspectratio="f"/>
                <v:textbox>
                  <w:txbxContent>
                    <w:p>
                      <w:pPr>
                        <w:rPr>
                          <w:rFonts w:ascii="方正小标宋简体" w:eastAsia="方正小标宋简体"/>
                          <w:sz w:val="44"/>
                          <w:szCs w:val="44"/>
                        </w:rPr>
                      </w:pPr>
                      <w:r>
                        <w:rPr>
                          <w:rFonts w:hint="eastAsia" w:ascii="方正小标宋简体" w:eastAsia="方正小标宋简体"/>
                          <w:sz w:val="44"/>
                          <w:szCs w:val="44"/>
                        </w:rPr>
                        <w:t>汕头市绿色建筑设计说明专篇示范文本（202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年版）</w:t>
                      </w:r>
                    </w:p>
                  </w:txbxContent>
                </v:textbox>
              </v:shape>
            </w:pict>
          </mc:Fallback>
        </mc:AlternateContent>
      </w:r>
      <w:r>
        <w:rPr>
          <w:rFonts w:hint="eastAsia" w:ascii="黑体" w:hAnsi="黑体" w:eastAsia="黑体" w:cs="黑体"/>
          <w:sz w:val="26"/>
          <w:szCs w:val="26"/>
        </w:rPr>
        <w:t>一、设计依据</w:t>
      </w:r>
    </w:p>
    <w:p>
      <w:pPr>
        <w:numPr>
          <w:ilvl w:val="0"/>
          <w:numId w:val="1"/>
        </w:numPr>
        <w:jc w:val="left"/>
        <w:rPr>
          <w:rFonts w:ascii="Times New Roman" w:hAnsi="Times New Roman" w:cs="Times New Roman"/>
        </w:rPr>
      </w:pPr>
      <w:r>
        <w:rPr>
          <w:rFonts w:ascii="Times New Roman" w:hAnsi="Times New Roman" w:cs="Times New Roman"/>
        </w:rPr>
        <w:t>《绿色建筑评价标准》GB/T 50378-2019（2024年版）</w:t>
      </w:r>
    </w:p>
    <w:p>
      <w:pPr>
        <w:numPr>
          <w:ilvl w:val="0"/>
          <w:numId w:val="1"/>
        </w:numPr>
        <w:jc w:val="left"/>
        <w:rPr>
          <w:rFonts w:ascii="Times New Roman" w:hAnsi="Times New Roman" w:cs="Times New Roman"/>
        </w:rPr>
      </w:pPr>
      <w:r>
        <w:rPr>
          <w:rFonts w:ascii="Times New Roman" w:hAnsi="Times New Roman" w:cs="Times New Roman"/>
        </w:rPr>
        <w:t>《广东省绿色建筑设计规范》DBJ/T 15-201-2020</w:t>
      </w:r>
    </w:p>
    <w:p>
      <w:pPr>
        <w:numPr>
          <w:ilvl w:val="0"/>
          <w:numId w:val="1"/>
        </w:numPr>
        <w:jc w:val="left"/>
        <w:rPr>
          <w:rFonts w:ascii="Times New Roman" w:hAnsi="Times New Roman" w:cs="Times New Roman"/>
        </w:rPr>
      </w:pPr>
      <w:r>
        <w:rPr>
          <w:rFonts w:ascii="Times New Roman" w:hAnsi="Times New Roman" w:cs="Times New Roman"/>
        </w:rPr>
        <w:t>《建筑节能与可再生能源利用通用规范》GB 55015-xxxx</w:t>
      </w:r>
    </w:p>
    <w:p>
      <w:pPr>
        <w:numPr>
          <w:ilvl w:val="0"/>
          <w:numId w:val="1"/>
        </w:numPr>
        <w:jc w:val="left"/>
        <w:rPr>
          <w:rFonts w:ascii="Times New Roman" w:hAnsi="Times New Roman" w:cs="Times New Roman"/>
        </w:rPr>
      </w:pPr>
      <w:r>
        <w:rPr>
          <w:rFonts w:ascii="Times New Roman" w:hAnsi="Times New Roman" w:cs="Times New Roman"/>
        </w:rPr>
        <w:t>《建筑环境通用规范》GB 55016-xxxx</w:t>
      </w:r>
    </w:p>
    <w:p>
      <w:pPr>
        <w:numPr>
          <w:ilvl w:val="0"/>
          <w:numId w:val="1"/>
        </w:numPr>
        <w:jc w:val="left"/>
        <w:rPr>
          <w:rFonts w:ascii="Times New Roman" w:hAnsi="Times New Roman" w:cs="Times New Roman"/>
        </w:rPr>
      </w:pPr>
      <w:r>
        <w:rPr>
          <w:rFonts w:ascii="Times New Roman" w:hAnsi="Times New Roman" w:cs="Times New Roman"/>
        </w:rPr>
        <w:t>《住宅项目规范》GB 55038-xxxx</w:t>
      </w:r>
    </w:p>
    <w:p>
      <w:pPr>
        <w:numPr>
          <w:ilvl w:val="0"/>
          <w:numId w:val="1"/>
        </w:numPr>
        <w:jc w:val="left"/>
        <w:rPr>
          <w:rFonts w:ascii="Times New Roman" w:hAnsi="Times New Roman" w:cs="Times New Roman"/>
        </w:rPr>
      </w:pPr>
      <w:r>
        <w:rPr>
          <w:rFonts w:ascii="Times New Roman" w:hAnsi="Times New Roman" w:cs="Times New Roman"/>
        </w:rPr>
        <w:t>《民用建筑绿色设计规范》JGJ/T 229-xxxx</w:t>
      </w:r>
    </w:p>
    <w:p>
      <w:pPr>
        <w:numPr>
          <w:ilvl w:val="0"/>
          <w:numId w:val="1"/>
        </w:numPr>
        <w:jc w:val="left"/>
        <w:rPr>
          <w:rFonts w:ascii="Times New Roman" w:hAnsi="Times New Roman" w:cs="Times New Roman"/>
        </w:rPr>
      </w:pPr>
      <w:r>
        <w:rPr>
          <w:rFonts w:ascii="Times New Roman" w:hAnsi="Times New Roman" w:cs="Times New Roman"/>
        </w:rPr>
        <w:t>《公共建筑节能设计标准》GB 50189-xxxx</w:t>
      </w:r>
    </w:p>
    <w:p>
      <w:pPr>
        <w:numPr>
          <w:ilvl w:val="0"/>
          <w:numId w:val="1"/>
        </w:numPr>
        <w:jc w:val="left"/>
        <w:rPr>
          <w:rFonts w:ascii="Times New Roman" w:hAnsi="Times New Roman" w:cs="Times New Roman"/>
        </w:rPr>
      </w:pPr>
      <w:r>
        <w:rPr>
          <w:rFonts w:ascii="Times New Roman" w:hAnsi="Times New Roman" w:cs="Times New Roman"/>
        </w:rPr>
        <w:t>《夏热冬暖地区居住建筑节能设计标准》JGJ 75-xxxx</w:t>
      </w:r>
    </w:p>
    <w:p>
      <w:pPr>
        <w:numPr>
          <w:ilvl w:val="0"/>
          <w:numId w:val="1"/>
        </w:numPr>
        <w:jc w:val="left"/>
        <w:rPr>
          <w:rFonts w:ascii="Times New Roman" w:hAnsi="Times New Roman" w:cs="Times New Roman"/>
        </w:rPr>
      </w:pPr>
      <w:r>
        <w:rPr>
          <w:rFonts w:ascii="Times New Roman" w:hAnsi="Times New Roman" w:cs="Times New Roman"/>
        </w:rPr>
        <w:t>《声环境质量标准》GB 3096-xxxx</w:t>
      </w:r>
    </w:p>
    <w:p>
      <w:pPr>
        <w:numPr>
          <w:ilvl w:val="0"/>
          <w:numId w:val="1"/>
        </w:numPr>
        <w:jc w:val="left"/>
        <w:rPr>
          <w:rFonts w:ascii="Times New Roman" w:hAnsi="Times New Roman" w:cs="Times New Roman"/>
        </w:rPr>
      </w:pPr>
      <w:r>
        <w:rPr>
          <w:rFonts w:ascii="Times New Roman" w:hAnsi="Times New Roman" w:cs="Times New Roman"/>
        </w:rPr>
        <w:t>《民用建筑隔声设计规范》GB 50118-xxxx</w:t>
      </w:r>
    </w:p>
    <w:p>
      <w:pPr>
        <w:numPr>
          <w:ilvl w:val="0"/>
          <w:numId w:val="1"/>
        </w:numPr>
        <w:jc w:val="left"/>
        <w:rPr>
          <w:rFonts w:ascii="Times New Roman" w:hAnsi="Times New Roman" w:cs="Times New Roman"/>
        </w:rPr>
      </w:pPr>
      <w:r>
        <w:rPr>
          <w:rFonts w:ascii="Times New Roman" w:hAnsi="Times New Roman" w:cs="Times New Roman"/>
        </w:rPr>
        <w:t>《建筑采光设计标准》GB 50033-xxxx</w:t>
      </w:r>
    </w:p>
    <w:p>
      <w:pPr>
        <w:numPr>
          <w:ilvl w:val="0"/>
          <w:numId w:val="1"/>
        </w:numPr>
        <w:jc w:val="left"/>
        <w:rPr>
          <w:rFonts w:ascii="Times New Roman" w:hAnsi="Times New Roman" w:cs="Times New Roman"/>
        </w:rPr>
      </w:pPr>
      <w:r>
        <w:rPr>
          <w:rFonts w:ascii="Times New Roman" w:hAnsi="Times New Roman" w:cs="Times New Roman"/>
        </w:rPr>
        <w:t>《民用建筑热工设计规范》GB 50176-xxxx</w:t>
      </w:r>
    </w:p>
    <w:p>
      <w:pPr>
        <w:numPr>
          <w:ilvl w:val="0"/>
          <w:numId w:val="1"/>
        </w:numPr>
        <w:jc w:val="left"/>
        <w:rPr>
          <w:rFonts w:ascii="Times New Roman" w:hAnsi="Times New Roman" w:cs="Times New Roman"/>
        </w:rPr>
      </w:pPr>
      <w:r>
        <w:rPr>
          <w:rFonts w:ascii="Times New Roman" w:hAnsi="Times New Roman" w:cs="Times New Roman"/>
        </w:rPr>
        <w:t>《民用建筑节水设计标准》GB 50555-xxxx</w:t>
      </w:r>
    </w:p>
    <w:p>
      <w:pPr>
        <w:numPr>
          <w:ilvl w:val="0"/>
          <w:numId w:val="1"/>
        </w:numPr>
        <w:jc w:val="left"/>
        <w:rPr>
          <w:rFonts w:ascii="Times New Roman" w:hAnsi="Times New Roman" w:cs="Times New Roman"/>
        </w:rPr>
      </w:pPr>
      <w:r>
        <w:rPr>
          <w:rFonts w:ascii="Times New Roman" w:hAnsi="Times New Roman" w:cs="Times New Roman"/>
        </w:rPr>
        <w:t>《城市污水再生利用城市杂用水水质》GB/T 18920-xxxx</w:t>
      </w:r>
    </w:p>
    <w:p>
      <w:pPr>
        <w:numPr>
          <w:ilvl w:val="0"/>
          <w:numId w:val="1"/>
        </w:numPr>
        <w:jc w:val="left"/>
        <w:rPr>
          <w:rFonts w:ascii="Times New Roman" w:hAnsi="Times New Roman" w:cs="Times New Roman"/>
        </w:rPr>
      </w:pPr>
      <w:r>
        <w:rPr>
          <w:rFonts w:ascii="Times New Roman" w:hAnsi="Times New Roman" w:cs="Times New Roman"/>
        </w:rPr>
        <w:t>《室外排水设计标准》GB 50014-xxxx</w:t>
      </w:r>
    </w:p>
    <w:p>
      <w:pPr>
        <w:numPr>
          <w:ilvl w:val="0"/>
          <w:numId w:val="1"/>
        </w:numPr>
        <w:jc w:val="left"/>
        <w:rPr>
          <w:rFonts w:ascii="Times New Roman" w:hAnsi="Times New Roman" w:cs="Times New Roman"/>
        </w:rPr>
      </w:pPr>
      <w:r>
        <w:rPr>
          <w:rFonts w:ascii="Times New Roman" w:hAnsi="Times New Roman" w:cs="Times New Roman"/>
        </w:rPr>
        <w:t>《室外给水设计标准》GB 50013-xxxx</w:t>
      </w:r>
    </w:p>
    <w:p>
      <w:pPr>
        <w:numPr>
          <w:ilvl w:val="0"/>
          <w:numId w:val="1"/>
        </w:numPr>
        <w:jc w:val="left"/>
        <w:rPr>
          <w:rFonts w:ascii="Times New Roman" w:hAnsi="Times New Roman" w:cs="Times New Roman"/>
        </w:rPr>
      </w:pPr>
      <w:r>
        <w:rPr>
          <w:rFonts w:ascii="Times New Roman" w:hAnsi="Times New Roman" w:cs="Times New Roman"/>
        </w:rPr>
        <w:t>《建筑给水排水设计标准》GB 50015</w:t>
      </w:r>
    </w:p>
    <w:p>
      <w:pPr>
        <w:numPr>
          <w:ilvl w:val="0"/>
          <w:numId w:val="1"/>
        </w:numPr>
        <w:jc w:val="left"/>
        <w:rPr>
          <w:rFonts w:ascii="Times New Roman" w:hAnsi="Times New Roman" w:cs="Times New Roman"/>
        </w:rPr>
      </w:pPr>
      <w:r>
        <w:rPr>
          <w:rFonts w:ascii="Times New Roman" w:hAnsi="Times New Roman" w:cs="Times New Roman"/>
        </w:rPr>
        <w:t>《民用建筑供暖通风与空气调节设计规范》GB 50736-xxxx</w:t>
      </w:r>
    </w:p>
    <w:p>
      <w:pPr>
        <w:numPr>
          <w:ilvl w:val="0"/>
          <w:numId w:val="1"/>
        </w:numPr>
        <w:jc w:val="left"/>
        <w:rPr>
          <w:rFonts w:ascii="Times New Roman" w:hAnsi="Times New Roman" w:cs="Times New Roman"/>
        </w:rPr>
      </w:pPr>
      <w:r>
        <w:rPr>
          <w:rFonts w:ascii="Times New Roman" w:hAnsi="Times New Roman" w:cs="Times New Roman"/>
        </w:rPr>
        <w:t>《智能建筑设计标准》GB50314-xxxx</w:t>
      </w:r>
    </w:p>
    <w:p>
      <w:pPr>
        <w:numPr>
          <w:ilvl w:val="0"/>
          <w:numId w:val="1"/>
        </w:numPr>
        <w:jc w:val="left"/>
        <w:rPr>
          <w:rFonts w:ascii="Times New Roman" w:hAnsi="Times New Roman" w:cs="Times New Roman"/>
        </w:rPr>
      </w:pPr>
      <w:r>
        <w:rPr>
          <w:rFonts w:ascii="Times New Roman" w:hAnsi="Times New Roman" w:cs="Times New Roman"/>
        </w:rPr>
        <w:t xml:space="preserve">《民用建筑电气设计标准》GB 51348-xxxx </w:t>
      </w:r>
    </w:p>
    <w:p>
      <w:pPr>
        <w:numPr>
          <w:ilvl w:val="0"/>
          <w:numId w:val="1"/>
        </w:numPr>
        <w:jc w:val="left"/>
        <w:rPr>
          <w:rFonts w:ascii="Times New Roman" w:hAnsi="Times New Roman" w:cs="Times New Roman"/>
        </w:rPr>
      </w:pPr>
      <w:r>
        <w:rPr>
          <w:rFonts w:ascii="Times New Roman" w:hAnsi="Times New Roman" w:cs="Times New Roman"/>
        </w:rPr>
        <w:t>《建筑照明设计标准》GB/T 50034-xxxx</w:t>
      </w:r>
    </w:p>
    <w:p>
      <w:pPr>
        <w:numPr>
          <w:ilvl w:val="0"/>
          <w:numId w:val="1"/>
        </w:numPr>
        <w:jc w:val="left"/>
        <w:rPr>
          <w:rFonts w:ascii="Times New Roman" w:hAnsi="Times New Roman" w:cs="Times New Roman"/>
        </w:rPr>
      </w:pPr>
      <w:r>
        <w:rPr>
          <w:rFonts w:ascii="Times New Roman" w:hAnsi="Times New Roman" w:cs="Times New Roman"/>
        </w:rPr>
        <w:t>《城市夜景照明设计规范》JGJ/T 163-xxxx</w:t>
      </w:r>
    </w:p>
    <w:p>
      <w:pPr>
        <w:numPr>
          <w:ilvl w:val="0"/>
          <w:numId w:val="1"/>
        </w:numPr>
        <w:jc w:val="left"/>
        <w:rPr>
          <w:rFonts w:ascii="Times New Roman" w:hAnsi="Times New Roman" w:cs="Times New Roman"/>
        </w:rPr>
      </w:pPr>
      <w:r>
        <w:rPr>
          <w:rFonts w:ascii="Times New Roman" w:hAnsi="Times New Roman" w:cs="Times New Roman"/>
        </w:rPr>
        <w:t>《建筑幕墙》GB</w:t>
      </w:r>
      <w:r>
        <w:rPr>
          <w:rFonts w:hint="eastAsia" w:ascii="Times New Roman" w:hAnsi="Times New Roman" w:cs="Times New Roman"/>
        </w:rPr>
        <w:t xml:space="preserve">/T </w:t>
      </w:r>
      <w:r>
        <w:rPr>
          <w:rFonts w:ascii="Times New Roman" w:hAnsi="Times New Roman" w:cs="Times New Roman"/>
        </w:rPr>
        <w:t>21086-xxxx</w:t>
      </w:r>
    </w:p>
    <w:p>
      <w:pPr>
        <w:numPr>
          <w:ilvl w:val="0"/>
          <w:numId w:val="1"/>
        </w:numPr>
        <w:jc w:val="left"/>
        <w:rPr>
          <w:rFonts w:ascii="Times New Roman" w:hAnsi="Times New Roman" w:cs="Times New Roman"/>
        </w:rPr>
      </w:pPr>
      <w:r>
        <w:rPr>
          <w:rFonts w:ascii="Times New Roman" w:hAnsi="Times New Roman" w:cs="Times New Roman"/>
        </w:rPr>
        <w:t>《广东省居住建筑节能设计标准》DBJ/T 15-133-xxxx</w:t>
      </w:r>
    </w:p>
    <w:p>
      <w:pPr>
        <w:numPr>
          <w:ilvl w:val="0"/>
          <w:numId w:val="1"/>
        </w:numPr>
        <w:jc w:val="left"/>
        <w:rPr>
          <w:rFonts w:ascii="Times New Roman" w:hAnsi="Times New Roman" w:cs="Times New Roman"/>
        </w:rPr>
      </w:pPr>
      <w:r>
        <w:rPr>
          <w:rFonts w:ascii="Times New Roman" w:hAnsi="Times New Roman" w:cs="Times New Roman"/>
        </w:rPr>
        <w:t>《广东省公共建筑节能设计标准》DBJ 15-51-xxxx</w:t>
      </w:r>
    </w:p>
    <w:p>
      <w:pPr>
        <w:numPr>
          <w:ilvl w:val="0"/>
          <w:numId w:val="1"/>
        </w:numPr>
        <w:jc w:val="left"/>
        <w:rPr>
          <w:rFonts w:ascii="Times New Roman" w:hAnsi="Times New Roman" w:cs="Times New Roman"/>
        </w:rPr>
      </w:pPr>
      <w:r>
        <w:rPr>
          <w:rFonts w:ascii="Times New Roman" w:hAnsi="Times New Roman" w:cs="Times New Roman"/>
        </w:rPr>
        <w:t>《建筑外门窗气密、水密、抗风压性能检测方法》GB/T 7106-xxxx</w:t>
      </w:r>
    </w:p>
    <w:p>
      <w:pPr>
        <w:numPr>
          <w:ilvl w:val="0"/>
          <w:numId w:val="1"/>
        </w:numPr>
        <w:jc w:val="left"/>
        <w:rPr>
          <w:rFonts w:ascii="Times New Roman" w:hAnsi="Times New Roman" w:cs="Times New Roman"/>
        </w:rPr>
      </w:pPr>
      <w:r>
        <w:rPr>
          <w:rFonts w:ascii="Times New Roman" w:hAnsi="Times New Roman" w:cs="Times New Roman"/>
        </w:rPr>
        <w:t>《</w:t>
      </w:r>
      <w:bookmarkStart w:id="0" w:name="OLE_LINK1"/>
      <w:r>
        <w:rPr>
          <w:rFonts w:ascii="Times New Roman" w:hAnsi="Times New Roman" w:cs="Times New Roman"/>
        </w:rPr>
        <w:t>建筑门窗玻璃幕墙热工计算规程</w:t>
      </w:r>
      <w:bookmarkEnd w:id="0"/>
      <w:r>
        <w:rPr>
          <w:rFonts w:ascii="Times New Roman" w:hAnsi="Times New Roman" w:cs="Times New Roman"/>
        </w:rPr>
        <w:t>》JGJ/T 151-xxxx</w:t>
      </w:r>
    </w:p>
    <w:p>
      <w:pPr>
        <w:numPr>
          <w:ilvl w:val="0"/>
          <w:numId w:val="1"/>
        </w:numPr>
        <w:jc w:val="left"/>
        <w:rPr>
          <w:rFonts w:ascii="Times New Roman" w:hAnsi="Times New Roman" w:cs="Times New Roman"/>
        </w:rPr>
      </w:pPr>
      <w:r>
        <w:rPr>
          <w:rFonts w:ascii="Times New Roman" w:hAnsi="Times New Roman" w:cs="Times New Roman"/>
        </w:rPr>
        <w:t>《城市居住区热环境设计标准》JGJ 286-xxxx</w:t>
      </w:r>
    </w:p>
    <w:p>
      <w:pPr>
        <w:numPr>
          <w:ilvl w:val="0"/>
          <w:numId w:val="1"/>
        </w:numPr>
        <w:jc w:val="left"/>
        <w:rPr>
          <w:rFonts w:ascii="Times New Roman" w:hAnsi="Times New Roman" w:cs="Times New Roman"/>
        </w:rPr>
      </w:pPr>
      <w:r>
        <w:rPr>
          <w:rFonts w:ascii="Times New Roman" w:hAnsi="Times New Roman" w:cs="Times New Roman"/>
        </w:rPr>
        <w:t>《建筑抗震设计标准》GB/T 50011-xxxx</w:t>
      </w:r>
    </w:p>
    <w:p>
      <w:pPr>
        <w:numPr>
          <w:ilvl w:val="0"/>
          <w:numId w:val="1"/>
        </w:numPr>
        <w:jc w:val="left"/>
        <w:rPr>
          <w:rFonts w:ascii="Times New Roman" w:hAnsi="Times New Roman" w:cs="Times New Roman"/>
        </w:rPr>
      </w:pPr>
      <w:r>
        <w:rPr>
          <w:rFonts w:ascii="Times New Roman" w:hAnsi="Times New Roman" w:cs="Times New Roman"/>
        </w:rPr>
        <w:t>国家、省、市现行的相关法律法规、规范性文件及其他所有国家强制性工程建设规范</w:t>
      </w:r>
    </w:p>
    <w:p>
      <w:pPr>
        <w:jc w:val="left"/>
        <w:rPr>
          <w:rFonts w:ascii="黑体" w:hAnsi="黑体" w:eastAsia="黑体" w:cs="黑体"/>
          <w:sz w:val="26"/>
          <w:szCs w:val="26"/>
        </w:rPr>
      </w:pPr>
      <w:r>
        <w:rPr>
          <w:rFonts w:hint="eastAsia" w:ascii="黑体" w:hAnsi="黑体" w:eastAsia="黑体" w:cs="黑体"/>
          <w:sz w:val="26"/>
          <w:szCs w:val="26"/>
        </w:rPr>
        <w:t>二、工程概况</w:t>
      </w:r>
    </w:p>
    <w:p>
      <w:pPr>
        <w:jc w:val="left"/>
      </w:pPr>
      <w:r>
        <w:rPr>
          <w:rFonts w:hint="eastAsia"/>
        </w:rPr>
        <w:t>项目名称：</w:t>
      </w:r>
    </w:p>
    <w:p>
      <w:pPr>
        <w:jc w:val="left"/>
      </w:pPr>
      <w:r>
        <w:rPr>
          <w:rFonts w:hint="eastAsia"/>
        </w:rPr>
        <w:t>项目地址：</w:t>
      </w:r>
    </w:p>
    <w:p>
      <w:pPr>
        <w:jc w:val="left"/>
        <w:rPr>
          <w:u w:val="single"/>
        </w:rPr>
      </w:pPr>
      <w:r>
        <w:rPr>
          <w:rFonts w:hint="eastAsia"/>
        </w:rPr>
        <w:t>建筑类型：建筑功能：</w:t>
      </w:r>
    </w:p>
    <w:p>
      <w:pPr>
        <w:jc w:val="left"/>
      </w:pPr>
      <w:r>
        <w:rPr>
          <w:rFonts w:hint="eastAsia"/>
        </w:rPr>
        <w:t>项目用地面积：㎡</w:t>
      </w:r>
    </w:p>
    <w:p>
      <w:pPr>
        <w:jc w:val="left"/>
      </w:pPr>
      <w:r>
        <w:rPr>
          <w:rFonts w:hint="eastAsia"/>
        </w:rPr>
        <w:t>项目总建筑面积：㎡，其中地上：㎡，地下：㎡</w:t>
      </w:r>
    </w:p>
    <w:p>
      <w:pPr>
        <w:jc w:val="left"/>
      </w:pPr>
      <w:r>
        <w:rPr>
          <w:rFonts w:hint="eastAsia"/>
        </w:rPr>
        <w:t>项目红线范围内的建筑包括：</w:t>
      </w:r>
      <w:r>
        <w:rPr>
          <w:rFonts w:hint="eastAsia"/>
          <w:u w:val="single"/>
        </w:rPr>
        <w:t>（请逐一列出）</w:t>
      </w:r>
      <w:r>
        <w:rPr>
          <w:rFonts w:hint="eastAsia"/>
        </w:rPr>
        <w:t>，其中</w:t>
      </w:r>
      <w:r>
        <w:rPr>
          <w:rFonts w:hint="eastAsia"/>
          <w:u w:val="single"/>
        </w:rPr>
        <w:t xml:space="preserve"> xx栋（幢）</w:t>
      </w:r>
      <w:r>
        <w:rPr>
          <w:rFonts w:hint="eastAsia"/>
        </w:rPr>
        <w:t>为三星级绿色建筑，面积占比为%，</w:t>
      </w:r>
      <w:r>
        <w:rPr>
          <w:rFonts w:hint="eastAsia"/>
          <w:u w:val="single"/>
        </w:rPr>
        <w:t xml:space="preserve"> xx栋（幢）</w:t>
      </w:r>
      <w:r>
        <w:rPr>
          <w:rFonts w:hint="eastAsia"/>
        </w:rPr>
        <w:t>为二星级绿色建筑，面积占比为%，</w:t>
      </w:r>
      <w:r>
        <w:rPr>
          <w:rFonts w:hint="eastAsia"/>
          <w:u w:val="single"/>
        </w:rPr>
        <w:t xml:space="preserve"> xx栋（幢）</w:t>
      </w:r>
      <w:r>
        <w:rPr>
          <w:rFonts w:hint="eastAsia"/>
        </w:rPr>
        <w:t>为一星级绿色建筑，面积占比为%，</w:t>
      </w:r>
      <w:r>
        <w:rPr>
          <w:rFonts w:hint="eastAsia"/>
          <w:u w:val="single"/>
        </w:rPr>
        <w:t xml:space="preserve"> xx栋（幢）</w:t>
      </w:r>
      <w:r>
        <w:rPr>
          <w:rFonts w:hint="eastAsia"/>
        </w:rPr>
        <w:t>为基本级绿色建筑，面积占比为%。</w:t>
      </w:r>
    </w:p>
    <w:p>
      <w:pPr>
        <w:jc w:val="left"/>
        <w:rPr>
          <w:rFonts w:ascii="Times New Roman" w:hAnsi="Times New Roman" w:eastAsia="宋体" w:cs="Times New Roman"/>
          <w:color w:val="FF0000"/>
          <w:u w:val="single"/>
        </w:rPr>
      </w:pPr>
      <w:r>
        <w:rPr>
          <w:rFonts w:ascii="Times New Roman" w:hAnsi="Times New Roman" w:eastAsia="宋体" w:cs="Times New Roman"/>
          <w:color w:val="FF0000"/>
        </w:rPr>
        <w:t>【示例，正式填写时请删除】项目红线范围内的建筑包括：</w:t>
      </w:r>
      <w:r>
        <w:rPr>
          <w:rFonts w:ascii="Times New Roman" w:hAnsi="Times New Roman" w:eastAsia="宋体" w:cs="Times New Roman"/>
          <w:color w:val="FF0000"/>
          <w:u w:val="single"/>
        </w:rPr>
        <w:t>1#住宅、2#住宅、3#住宅，4#幼儿园，5#配套楼，6#商业办公楼</w:t>
      </w:r>
      <w:r>
        <w:rPr>
          <w:rFonts w:ascii="Times New Roman" w:hAnsi="Times New Roman" w:eastAsia="宋体" w:cs="Times New Roman"/>
          <w:color w:val="FF0000"/>
        </w:rPr>
        <w:t>，其中</w:t>
      </w:r>
      <w:r>
        <w:rPr>
          <w:rFonts w:ascii="Times New Roman" w:hAnsi="Times New Roman" w:eastAsia="宋体" w:cs="Times New Roman"/>
          <w:color w:val="FF0000"/>
          <w:u w:val="single"/>
        </w:rPr>
        <w:t>6#商业办公楼</w:t>
      </w:r>
      <w:r>
        <w:rPr>
          <w:rFonts w:ascii="Times New Roman" w:hAnsi="Times New Roman" w:eastAsia="宋体" w:cs="Times New Roman"/>
          <w:color w:val="FF0000"/>
        </w:rPr>
        <w:t>为三星级绿色建筑，面积占比为</w:t>
      </w:r>
      <w:r>
        <w:rPr>
          <w:rFonts w:ascii="Times New Roman" w:hAnsi="Times New Roman" w:eastAsia="宋体" w:cs="Times New Roman"/>
          <w:color w:val="FF0000"/>
          <w:u w:val="single"/>
        </w:rPr>
        <w:t>4</w:t>
      </w:r>
      <w:r>
        <w:rPr>
          <w:rFonts w:hint="eastAsia" w:ascii="Times New Roman" w:hAnsi="Times New Roman" w:eastAsia="宋体" w:cs="Times New Roman"/>
          <w:color w:val="FF0000"/>
          <w:u w:val="single"/>
        </w:rPr>
        <w:t>5</w:t>
      </w:r>
      <w:r>
        <w:rPr>
          <w:rFonts w:ascii="Times New Roman" w:hAnsi="Times New Roman" w:eastAsia="宋体" w:cs="Times New Roman"/>
          <w:color w:val="FF0000"/>
        </w:rPr>
        <w:t>%，</w:t>
      </w:r>
      <w:r>
        <w:rPr>
          <w:rFonts w:ascii="Times New Roman" w:hAnsi="Times New Roman" w:eastAsia="宋体" w:cs="Times New Roman"/>
          <w:color w:val="FF0000"/>
          <w:u w:val="single"/>
        </w:rPr>
        <w:t>1#住宅、2#住宅、3#住宅</w:t>
      </w:r>
      <w:r>
        <w:rPr>
          <w:rFonts w:ascii="Times New Roman" w:hAnsi="Times New Roman" w:eastAsia="宋体" w:cs="Times New Roman"/>
          <w:color w:val="FF0000"/>
        </w:rPr>
        <w:t>为二星级绿色建筑，面积占比为</w:t>
      </w:r>
      <w:r>
        <w:rPr>
          <w:rFonts w:ascii="Times New Roman" w:hAnsi="Times New Roman" w:eastAsia="宋体" w:cs="Times New Roman"/>
          <w:color w:val="FF0000"/>
          <w:u w:val="single"/>
        </w:rPr>
        <w:t>4</w:t>
      </w:r>
      <w:r>
        <w:rPr>
          <w:rFonts w:hint="eastAsia" w:ascii="Times New Roman" w:hAnsi="Times New Roman" w:eastAsia="宋体" w:cs="Times New Roman"/>
          <w:color w:val="FF0000"/>
          <w:u w:val="single"/>
        </w:rPr>
        <w:t>8</w:t>
      </w:r>
      <w:r>
        <w:rPr>
          <w:rFonts w:ascii="Times New Roman" w:hAnsi="Times New Roman" w:eastAsia="宋体" w:cs="Times New Roman"/>
          <w:color w:val="FF0000"/>
        </w:rPr>
        <w:t>%，</w:t>
      </w:r>
      <w:r>
        <w:rPr>
          <w:rFonts w:ascii="Times New Roman" w:hAnsi="Times New Roman" w:eastAsia="宋体" w:cs="Times New Roman"/>
          <w:color w:val="FF0000"/>
          <w:u w:val="single"/>
        </w:rPr>
        <w:t>4#幼儿园</w:t>
      </w:r>
      <w:r>
        <w:rPr>
          <w:rFonts w:ascii="Times New Roman" w:hAnsi="Times New Roman" w:eastAsia="宋体" w:cs="Times New Roman"/>
          <w:color w:val="FF0000"/>
        </w:rPr>
        <w:t>为一星级绿色建筑，面积占比为</w:t>
      </w:r>
      <w:r>
        <w:rPr>
          <w:rFonts w:hint="eastAsia" w:ascii="Times New Roman" w:hAnsi="Times New Roman" w:eastAsia="宋体" w:cs="Times New Roman"/>
          <w:color w:val="FF0000"/>
          <w:u w:val="single"/>
        </w:rPr>
        <w:t>5</w:t>
      </w:r>
      <w:r>
        <w:rPr>
          <w:rFonts w:ascii="Times New Roman" w:hAnsi="Times New Roman" w:eastAsia="宋体" w:cs="Times New Roman"/>
          <w:color w:val="FF0000"/>
        </w:rPr>
        <w:t>%，</w:t>
      </w:r>
      <w:r>
        <w:rPr>
          <w:rFonts w:ascii="Times New Roman" w:hAnsi="Times New Roman" w:eastAsia="宋体" w:cs="Times New Roman"/>
          <w:color w:val="FF0000"/>
          <w:u w:val="single"/>
        </w:rPr>
        <w:t>5#配套楼</w:t>
      </w:r>
      <w:r>
        <w:rPr>
          <w:rFonts w:ascii="Times New Roman" w:hAnsi="Times New Roman" w:eastAsia="宋体" w:cs="Times New Roman"/>
          <w:color w:val="FF0000"/>
        </w:rPr>
        <w:t>为基本级绿色建筑，面积占比为</w:t>
      </w:r>
      <w:r>
        <w:rPr>
          <w:rFonts w:ascii="Times New Roman" w:hAnsi="Times New Roman" w:eastAsia="宋体" w:cs="Times New Roman"/>
          <w:color w:val="FF0000"/>
          <w:u w:val="single"/>
        </w:rPr>
        <w:t>2</w:t>
      </w:r>
      <w:r>
        <w:rPr>
          <w:rFonts w:ascii="Times New Roman" w:hAnsi="Times New Roman" w:eastAsia="宋体" w:cs="Times New Roman"/>
          <w:color w:val="FF0000"/>
        </w:rPr>
        <w:t>%</w:t>
      </w:r>
      <w:r>
        <w:rPr>
          <w:rFonts w:hint="eastAsia" w:ascii="Times New Roman" w:hAnsi="Times New Roman" w:eastAsia="宋体" w:cs="Times New Roman"/>
          <w:color w:val="FF0000"/>
          <w:lang w:eastAsia="zh-CN"/>
        </w:rPr>
        <w:t>（占总建筑面积比例）</w:t>
      </w:r>
      <w:r>
        <w:rPr>
          <w:rFonts w:ascii="Times New Roman" w:hAnsi="Times New Roman" w:eastAsia="宋体" w:cs="Times New Roman"/>
          <w:color w:val="FF0000"/>
        </w:rPr>
        <w:t>。</w:t>
      </w:r>
    </w:p>
    <w:p>
      <w:pPr>
        <w:jc w:val="left"/>
        <w:rPr>
          <w:rFonts w:hint="eastAsia"/>
        </w:rPr>
      </w:pPr>
      <w:r>
        <w:rPr>
          <w:rFonts w:hint="eastAsia"/>
        </w:rPr>
        <w:t>本次设计范围建筑面积：㎡，其中地上：㎡，地下：㎡</w:t>
      </w:r>
    </w:p>
    <w:p>
      <w:pPr>
        <w:jc w:val="left"/>
      </w:pPr>
      <w:r>
        <w:rPr>
          <w:rFonts w:hint="eastAsia"/>
        </w:rPr>
        <w:t>申报建筑层数：层，其中地上：层，高度：</w:t>
      </w:r>
      <w:r>
        <w:rPr>
          <w:rFonts w:hint="eastAsia" w:asciiTheme="minorEastAsia" w:hAnsiTheme="minorEastAsia" w:cstheme="minorEastAsia"/>
        </w:rPr>
        <w:t>m；地下：层，深度</w:t>
      </w:r>
      <w:r>
        <w:rPr>
          <w:rFonts w:hint="eastAsia" w:asciiTheme="minorEastAsia" w:hAnsiTheme="minorEastAsia" w:cstheme="minorEastAsia"/>
          <w:lang w:eastAsia="zh-CN"/>
        </w:rPr>
        <w:t>：</w:t>
      </w:r>
      <w:r>
        <w:rPr>
          <w:rFonts w:hint="eastAsia" w:asciiTheme="minorEastAsia" w:hAnsiTheme="minorEastAsia" w:cstheme="minorEastAsia"/>
        </w:rPr>
        <w:t>m</w:t>
      </w:r>
      <w:r>
        <w:rPr>
          <w:rFonts w:hint="eastAsia"/>
        </w:rPr>
        <w:t>。</w:t>
      </w:r>
    </w:p>
    <w:p>
      <w:pPr>
        <w:jc w:val="left"/>
        <w:rPr>
          <w:rFonts w:hint="eastAsia"/>
        </w:rPr>
      </w:pPr>
      <w:r>
        <w:rPr>
          <w:rFonts w:hint="eastAsia"/>
        </w:rPr>
        <w:t>绿色建筑建设目标：</w:t>
      </w:r>
      <w:r>
        <w:rPr>
          <w:rFonts w:hint="eastAsia"/>
        </w:rPr>
        <w:sym w:font="Wingdings 2" w:char="F0A3"/>
      </w:r>
      <w:r>
        <w:rPr>
          <w:rFonts w:hint="eastAsia"/>
        </w:rPr>
        <w:t>基本级</w:t>
      </w:r>
      <w:r>
        <w:rPr>
          <w:rFonts w:hint="eastAsia"/>
        </w:rPr>
        <w:sym w:font="Wingdings 2" w:char="F0A3"/>
      </w:r>
      <w:r>
        <w:rPr>
          <w:rFonts w:hint="eastAsia"/>
        </w:rPr>
        <w:t>一星级</w:t>
      </w:r>
      <w:r>
        <w:rPr>
          <w:rFonts w:hint="eastAsia"/>
        </w:rPr>
        <w:sym w:font="Wingdings 2" w:char="F0A3"/>
      </w:r>
      <w:r>
        <w:rPr>
          <w:rFonts w:hint="eastAsia"/>
        </w:rPr>
        <w:t>二星级</w:t>
      </w:r>
      <w:r>
        <w:rPr>
          <w:rFonts w:hint="eastAsia"/>
        </w:rPr>
        <w:sym w:font="Wingdings 2" w:char="F0A3"/>
      </w:r>
      <w:r>
        <w:rPr>
          <w:rFonts w:hint="eastAsia"/>
        </w:rPr>
        <w:t>三星级</w:t>
      </w:r>
    </w:p>
    <w:p>
      <w:pPr>
        <w:jc w:val="left"/>
        <w:rPr>
          <w:rFonts w:hint="eastAsia"/>
        </w:rPr>
      </w:pPr>
      <w:r>
        <w:rPr>
          <w:rFonts w:hint="eastAsia"/>
          <w:lang w:eastAsia="zh-CN"/>
        </w:rPr>
        <w:t>绿色建筑基本级信息；单体建筑计容建筑面积：</w:t>
      </w:r>
      <w:r>
        <w:rPr>
          <w:rFonts w:hint="eastAsia"/>
        </w:rPr>
        <w:t>㎡</w:t>
      </w:r>
      <w:r>
        <w:rPr>
          <w:rFonts w:hint="eastAsia"/>
          <w:lang w:eastAsia="zh-CN"/>
        </w:rPr>
        <w:t>。</w:t>
      </w:r>
    </w:p>
    <w:p>
      <w:pPr>
        <w:jc w:val="left"/>
      </w:pPr>
      <w:r>
        <w:rPr>
          <w:rFonts w:hint="eastAsia"/>
        </w:rPr>
        <w:t>本项目绿色建筑等级分布示意图：（应注明红线范围内所有建筑的绿色建筑等级，注明本专篇涉及的建筑单体及北向角度</w:t>
      </w:r>
      <w:r>
        <w:rPr>
          <w:rFonts w:hint="eastAsia"/>
          <w:lang w:eastAsia="zh-CN"/>
        </w:rPr>
        <w:t>。不同星级绿色建筑要单独编制绿建专篇</w:t>
      </w:r>
      <w:r>
        <w:rPr>
          <w:rFonts w:hint="eastAsia"/>
        </w:rPr>
        <w:t>）</w:t>
      </w:r>
    </w:p>
    <w:p>
      <w:pPr>
        <w:jc w:val="left"/>
      </w:pPr>
      <w:r>
        <w:drawing>
          <wp:inline distT="0" distB="0" distL="114300" distR="114300">
            <wp:extent cx="4286250" cy="2590800"/>
            <wp:effectExtent l="0" t="0" r="0" b="0"/>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7">
                      <a:grayscl/>
                    </a:blip>
                    <a:stretch>
                      <a:fillRect/>
                    </a:stretch>
                  </pic:blipFill>
                  <pic:spPr>
                    <a:xfrm>
                      <a:off x="0" y="0"/>
                      <a:ext cx="4292683" cy="2594682"/>
                    </a:xfrm>
                    <a:prstGeom prst="rect">
                      <a:avLst/>
                    </a:prstGeom>
                    <a:noFill/>
                    <a:ln>
                      <a:noFill/>
                    </a:ln>
                  </pic:spPr>
                </pic:pic>
              </a:graphicData>
            </a:graphic>
          </wp:inline>
        </w:drawing>
      </w:r>
    </w:p>
    <w:p>
      <w:pPr>
        <w:jc w:val="left"/>
        <w:rPr>
          <w:rFonts w:ascii="黑体" w:hAnsi="黑体" w:eastAsia="黑体" w:cs="黑体"/>
          <w:sz w:val="26"/>
          <w:szCs w:val="26"/>
        </w:rPr>
      </w:pPr>
      <w:r>
        <w:rPr>
          <w:rFonts w:hint="eastAsia" w:ascii="黑体" w:hAnsi="黑体" w:eastAsia="黑体" w:cs="黑体"/>
          <w:sz w:val="26"/>
          <w:szCs w:val="26"/>
        </w:rPr>
        <w:t>三、绿色建筑设计自评表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02"/>
        <w:gridCol w:w="749"/>
        <w:gridCol w:w="805"/>
        <w:gridCol w:w="805"/>
        <w:gridCol w:w="799"/>
        <w:gridCol w:w="81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 w:type="pct"/>
            <w:vMerge w:val="restart"/>
            <w:tcMar>
              <w:left w:w="28" w:type="dxa"/>
              <w:right w:w="28" w:type="dxa"/>
            </w:tcMar>
            <w:vAlign w:val="center"/>
          </w:tcPr>
          <w:p>
            <w:pPr>
              <w:widowControl/>
              <w:spacing w:line="240" w:lineRule="exact"/>
              <w:jc w:val="center"/>
              <w:rPr>
                <w:rFonts w:ascii="黑体" w:hAnsi="黑体" w:eastAsia="黑体" w:cs="Times New Roman"/>
                <w:b/>
                <w:bCs/>
                <w:kern w:val="0"/>
                <w:szCs w:val="21"/>
              </w:rPr>
            </w:pPr>
            <w:r>
              <w:rPr>
                <w:rFonts w:hint="eastAsia" w:ascii="黑体" w:hAnsi="黑体" w:eastAsia="黑体" w:cs="宋体"/>
                <w:b/>
                <w:bCs/>
                <w:kern w:val="0"/>
                <w:szCs w:val="21"/>
              </w:rPr>
              <w:t>项</w:t>
            </w:r>
          </w:p>
          <w:p>
            <w:pPr>
              <w:widowControl/>
              <w:spacing w:line="240" w:lineRule="exact"/>
              <w:jc w:val="center"/>
              <w:rPr>
                <w:rFonts w:ascii="黑体" w:hAnsi="黑体" w:eastAsia="黑体" w:cs="Times New Roman"/>
                <w:b/>
                <w:bCs/>
                <w:kern w:val="0"/>
                <w:szCs w:val="21"/>
              </w:rPr>
            </w:pPr>
            <w:r>
              <w:rPr>
                <w:rFonts w:hint="eastAsia" w:ascii="黑体" w:hAnsi="黑体" w:eastAsia="黑体" w:cs="宋体"/>
                <w:b/>
                <w:bCs/>
                <w:kern w:val="0"/>
                <w:szCs w:val="21"/>
              </w:rPr>
              <w:t>目</w:t>
            </w:r>
          </w:p>
          <w:p>
            <w:pPr>
              <w:widowControl/>
              <w:spacing w:line="240" w:lineRule="exact"/>
              <w:jc w:val="center"/>
              <w:rPr>
                <w:rFonts w:ascii="黑体" w:hAnsi="黑体" w:eastAsia="黑体" w:cs="Times New Roman"/>
                <w:b/>
                <w:bCs/>
                <w:kern w:val="0"/>
                <w:szCs w:val="21"/>
              </w:rPr>
            </w:pPr>
            <w:r>
              <w:rPr>
                <w:rFonts w:hint="eastAsia" w:ascii="黑体" w:hAnsi="黑体" w:eastAsia="黑体" w:cs="宋体"/>
                <w:b/>
                <w:bCs/>
                <w:kern w:val="0"/>
                <w:szCs w:val="21"/>
              </w:rPr>
              <w:t>自</w:t>
            </w:r>
          </w:p>
          <w:p>
            <w:pPr>
              <w:widowControl/>
              <w:spacing w:line="240" w:lineRule="exact"/>
              <w:jc w:val="center"/>
              <w:rPr>
                <w:rFonts w:ascii="黑体" w:hAnsi="黑体" w:eastAsia="黑体" w:cs="Times New Roman"/>
                <w:b/>
                <w:bCs/>
                <w:kern w:val="0"/>
                <w:szCs w:val="21"/>
              </w:rPr>
            </w:pPr>
            <w:r>
              <w:rPr>
                <w:rFonts w:hint="eastAsia" w:ascii="黑体" w:hAnsi="黑体" w:eastAsia="黑体" w:cs="宋体"/>
                <w:b/>
                <w:bCs/>
                <w:kern w:val="0"/>
                <w:szCs w:val="21"/>
              </w:rPr>
              <w:t>评</w:t>
            </w:r>
          </w:p>
          <w:p>
            <w:pPr>
              <w:widowControl/>
              <w:spacing w:line="240" w:lineRule="exact"/>
              <w:jc w:val="center"/>
              <w:rPr>
                <w:rFonts w:ascii="宋体" w:hAnsi="Calibri" w:eastAsia="宋体" w:cs="Times New Roman"/>
                <w:kern w:val="0"/>
                <w:sz w:val="18"/>
                <w:szCs w:val="18"/>
              </w:rPr>
            </w:pPr>
            <w:r>
              <w:rPr>
                <w:rFonts w:hint="eastAsia" w:ascii="黑体" w:hAnsi="黑体" w:eastAsia="黑体" w:cs="宋体"/>
                <w:b/>
                <w:bCs/>
                <w:kern w:val="0"/>
                <w:szCs w:val="21"/>
              </w:rPr>
              <w:t>表</w:t>
            </w:r>
          </w:p>
        </w:tc>
        <w:tc>
          <w:tcPr>
            <w:tcW w:w="808"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宋体"/>
                <w:kern w:val="0"/>
                <w:sz w:val="18"/>
                <w:szCs w:val="18"/>
              </w:rPr>
              <w:t>评分项</w:t>
            </w:r>
          </w:p>
        </w:tc>
        <w:tc>
          <w:tcPr>
            <w:tcW w:w="604"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安全耐久</w:t>
            </w:r>
          </w:p>
        </w:tc>
        <w:tc>
          <w:tcPr>
            <w:tcW w:w="649"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健康舒适</w:t>
            </w:r>
          </w:p>
        </w:tc>
        <w:tc>
          <w:tcPr>
            <w:tcW w:w="649"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生活便利</w:t>
            </w:r>
          </w:p>
        </w:tc>
        <w:tc>
          <w:tcPr>
            <w:tcW w:w="644"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资源节约</w:t>
            </w:r>
          </w:p>
        </w:tc>
        <w:tc>
          <w:tcPr>
            <w:tcW w:w="657" w:type="pct"/>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环境宜居</w:t>
            </w:r>
          </w:p>
        </w:tc>
        <w:tc>
          <w:tcPr>
            <w:tcW w:w="647" w:type="pct"/>
            <w:tcMar>
              <w:left w:w="28" w:type="dxa"/>
              <w:right w:w="28" w:type="dxa"/>
            </w:tcMar>
            <w:vAlign w:val="center"/>
          </w:tcPr>
          <w:p>
            <w:pPr>
              <w:widowControl/>
              <w:spacing w:line="180" w:lineRule="exact"/>
              <w:jc w:val="center"/>
              <w:rPr>
                <w:rFonts w:ascii="黑体" w:hAnsi="黑体" w:eastAsia="黑体" w:cs="Times New Roman"/>
                <w:kern w:val="0"/>
                <w:sz w:val="18"/>
                <w:szCs w:val="18"/>
              </w:rPr>
            </w:pPr>
            <w:r>
              <w:rPr>
                <w:rFonts w:hint="eastAsia" w:ascii="黑体" w:hAnsi="黑体" w:eastAsia="黑体" w:cs="Times New Roman"/>
                <w:kern w:val="0"/>
                <w:sz w:val="18"/>
                <w:szCs w:val="18"/>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344" w:type="pct"/>
            <w:vMerge w:val="continue"/>
            <w:tcMar>
              <w:left w:w="28" w:type="dxa"/>
              <w:right w:w="28" w:type="dxa"/>
            </w:tcMar>
            <w:vAlign w:val="center"/>
          </w:tcPr>
          <w:p>
            <w:pPr>
              <w:widowControl/>
              <w:spacing w:line="180" w:lineRule="exact"/>
              <w:jc w:val="left"/>
              <w:rPr>
                <w:rFonts w:ascii="宋体" w:hAnsi="Calibri" w:eastAsia="宋体" w:cs="Times New Roman"/>
                <w:kern w:val="0"/>
                <w:sz w:val="18"/>
                <w:szCs w:val="18"/>
              </w:rPr>
            </w:pPr>
          </w:p>
        </w:tc>
        <w:tc>
          <w:tcPr>
            <w:tcW w:w="808" w:type="pct"/>
            <w:tcMar>
              <w:left w:w="28" w:type="dxa"/>
              <w:right w:w="28" w:type="dxa"/>
            </w:tcMar>
            <w:vAlign w:val="center"/>
          </w:tcPr>
          <w:p>
            <w:pPr>
              <w:widowControl/>
              <w:spacing w:line="180" w:lineRule="exact"/>
              <w:jc w:val="center"/>
              <w:rPr>
                <w:rFonts w:ascii="宋体" w:hAnsi="宋体" w:eastAsia="宋体" w:cs="宋体"/>
                <w:kern w:val="0"/>
                <w:sz w:val="18"/>
                <w:szCs w:val="18"/>
              </w:rPr>
            </w:pPr>
            <w:r>
              <w:rPr>
                <w:rFonts w:hint="eastAsia" w:ascii="宋体" w:hAnsi="宋体" w:eastAsia="宋体" w:cs="宋体"/>
                <w:kern w:val="0"/>
                <w:sz w:val="18"/>
                <w:szCs w:val="18"/>
              </w:rPr>
              <w:t>评分项总分</w:t>
            </w:r>
          </w:p>
        </w:tc>
        <w:tc>
          <w:tcPr>
            <w:tcW w:w="604"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1</w:t>
            </w:r>
            <w:r>
              <w:rPr>
                <w:rFonts w:ascii="宋体" w:hAnsi="Calibri" w:eastAsia="宋体" w:cs="宋体"/>
                <w:sz w:val="18"/>
                <w:szCs w:val="18"/>
              </w:rPr>
              <w:t>00</w:t>
            </w:r>
          </w:p>
        </w:tc>
        <w:tc>
          <w:tcPr>
            <w:tcW w:w="649"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1</w:t>
            </w:r>
            <w:r>
              <w:rPr>
                <w:rFonts w:ascii="宋体" w:hAnsi="Calibri" w:eastAsia="宋体" w:cs="宋体"/>
                <w:sz w:val="18"/>
                <w:szCs w:val="18"/>
              </w:rPr>
              <w:t>00</w:t>
            </w:r>
          </w:p>
        </w:tc>
        <w:tc>
          <w:tcPr>
            <w:tcW w:w="649"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7</w:t>
            </w:r>
            <w:r>
              <w:rPr>
                <w:rFonts w:ascii="宋体" w:hAnsi="Calibri" w:eastAsia="宋体" w:cs="宋体"/>
                <w:sz w:val="18"/>
                <w:szCs w:val="18"/>
              </w:rPr>
              <w:t>0</w:t>
            </w:r>
          </w:p>
        </w:tc>
        <w:tc>
          <w:tcPr>
            <w:tcW w:w="644"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2</w:t>
            </w:r>
            <w:r>
              <w:rPr>
                <w:rFonts w:ascii="宋体" w:hAnsi="Calibri" w:eastAsia="宋体" w:cs="宋体"/>
                <w:sz w:val="18"/>
                <w:szCs w:val="18"/>
              </w:rPr>
              <w:t>00</w:t>
            </w:r>
          </w:p>
        </w:tc>
        <w:tc>
          <w:tcPr>
            <w:tcW w:w="657" w:type="pct"/>
            <w:vAlign w:val="center"/>
          </w:tcPr>
          <w:p>
            <w:pPr>
              <w:jc w:val="center"/>
              <w:rPr>
                <w:rFonts w:ascii="宋体" w:hAnsi="Calibri" w:eastAsia="宋体" w:cs="宋体"/>
                <w:sz w:val="18"/>
                <w:szCs w:val="18"/>
              </w:rPr>
            </w:pPr>
            <w:r>
              <w:rPr>
                <w:rFonts w:hint="eastAsia" w:ascii="宋体" w:hAnsi="Calibri" w:eastAsia="宋体" w:cs="宋体"/>
                <w:sz w:val="18"/>
                <w:szCs w:val="18"/>
              </w:rPr>
              <w:t>1</w:t>
            </w:r>
            <w:r>
              <w:rPr>
                <w:rFonts w:ascii="宋体" w:hAnsi="Calibri" w:eastAsia="宋体" w:cs="宋体"/>
                <w:sz w:val="18"/>
                <w:szCs w:val="18"/>
              </w:rPr>
              <w:t>00</w:t>
            </w:r>
          </w:p>
        </w:tc>
        <w:tc>
          <w:tcPr>
            <w:tcW w:w="647"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1</w:t>
            </w:r>
            <w:r>
              <w:rPr>
                <w:rFonts w:ascii="宋体" w:hAnsi="Calibri" w:eastAsia="宋体" w:cs="宋体"/>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4" w:type="pct"/>
            <w:vMerge w:val="continue"/>
            <w:tcMar>
              <w:left w:w="28" w:type="dxa"/>
              <w:right w:w="28" w:type="dxa"/>
            </w:tcMar>
            <w:vAlign w:val="center"/>
          </w:tcPr>
          <w:p>
            <w:pPr>
              <w:widowControl/>
              <w:spacing w:line="180" w:lineRule="exact"/>
              <w:jc w:val="left"/>
              <w:rPr>
                <w:rFonts w:ascii="宋体" w:hAnsi="Calibri" w:eastAsia="宋体" w:cs="Times New Roman"/>
                <w:kern w:val="0"/>
                <w:sz w:val="18"/>
                <w:szCs w:val="18"/>
              </w:rPr>
            </w:pPr>
          </w:p>
        </w:tc>
        <w:tc>
          <w:tcPr>
            <w:tcW w:w="808" w:type="pct"/>
            <w:tcMar>
              <w:left w:w="28" w:type="dxa"/>
              <w:right w:w="28" w:type="dxa"/>
            </w:tcMar>
            <w:vAlign w:val="center"/>
          </w:tcPr>
          <w:p>
            <w:pPr>
              <w:widowControl/>
              <w:spacing w:line="180" w:lineRule="exact"/>
              <w:jc w:val="center"/>
              <w:rPr>
                <w:rFonts w:ascii="宋体" w:hAnsi="宋体" w:eastAsia="宋体" w:cs="宋体"/>
                <w:kern w:val="0"/>
                <w:sz w:val="18"/>
                <w:szCs w:val="18"/>
              </w:rPr>
            </w:pPr>
            <w:r>
              <w:rPr>
                <w:rFonts w:hint="eastAsia" w:ascii="宋体" w:hAnsi="宋体" w:eastAsia="宋体" w:cs="宋体"/>
                <w:kern w:val="0"/>
                <w:sz w:val="18"/>
                <w:szCs w:val="18"/>
              </w:rPr>
              <w:t>评分项最低得分要求</w:t>
            </w:r>
          </w:p>
        </w:tc>
        <w:tc>
          <w:tcPr>
            <w:tcW w:w="604"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3</w:t>
            </w:r>
            <w:r>
              <w:rPr>
                <w:rFonts w:ascii="宋体" w:hAnsi="Calibri" w:eastAsia="宋体" w:cs="宋体"/>
                <w:sz w:val="18"/>
                <w:szCs w:val="18"/>
              </w:rPr>
              <w:t>0</w:t>
            </w:r>
          </w:p>
        </w:tc>
        <w:tc>
          <w:tcPr>
            <w:tcW w:w="649"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3</w:t>
            </w:r>
            <w:r>
              <w:rPr>
                <w:rFonts w:ascii="宋体" w:hAnsi="Calibri" w:eastAsia="宋体" w:cs="宋体"/>
                <w:sz w:val="18"/>
                <w:szCs w:val="18"/>
              </w:rPr>
              <w:t>0</w:t>
            </w:r>
          </w:p>
        </w:tc>
        <w:tc>
          <w:tcPr>
            <w:tcW w:w="649"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2</w:t>
            </w:r>
            <w:r>
              <w:rPr>
                <w:rFonts w:ascii="宋体" w:hAnsi="Calibri" w:eastAsia="宋体" w:cs="宋体"/>
                <w:sz w:val="18"/>
                <w:szCs w:val="18"/>
              </w:rPr>
              <w:t>1</w:t>
            </w:r>
          </w:p>
        </w:tc>
        <w:tc>
          <w:tcPr>
            <w:tcW w:w="644" w:type="pct"/>
            <w:tcMar>
              <w:left w:w="28" w:type="dxa"/>
              <w:right w:w="28" w:type="dxa"/>
            </w:tcMar>
            <w:vAlign w:val="center"/>
          </w:tcPr>
          <w:p>
            <w:pPr>
              <w:jc w:val="center"/>
              <w:rPr>
                <w:rFonts w:ascii="宋体" w:hAnsi="Calibri" w:eastAsia="宋体" w:cs="宋体"/>
                <w:sz w:val="18"/>
                <w:szCs w:val="18"/>
              </w:rPr>
            </w:pPr>
            <w:r>
              <w:rPr>
                <w:rFonts w:hint="eastAsia" w:ascii="宋体" w:hAnsi="Calibri" w:eastAsia="宋体" w:cs="宋体"/>
                <w:sz w:val="18"/>
                <w:szCs w:val="18"/>
              </w:rPr>
              <w:t>6</w:t>
            </w:r>
            <w:r>
              <w:rPr>
                <w:rFonts w:ascii="宋体" w:hAnsi="Calibri" w:eastAsia="宋体" w:cs="宋体"/>
                <w:sz w:val="18"/>
                <w:szCs w:val="18"/>
              </w:rPr>
              <w:t>0</w:t>
            </w:r>
          </w:p>
        </w:tc>
        <w:tc>
          <w:tcPr>
            <w:tcW w:w="657" w:type="pct"/>
            <w:vAlign w:val="center"/>
          </w:tcPr>
          <w:p>
            <w:pPr>
              <w:jc w:val="center"/>
              <w:rPr>
                <w:rFonts w:ascii="宋体" w:hAnsi="Calibri" w:eastAsia="宋体" w:cs="宋体"/>
                <w:sz w:val="18"/>
                <w:szCs w:val="18"/>
              </w:rPr>
            </w:pPr>
            <w:r>
              <w:rPr>
                <w:rFonts w:hint="eastAsia" w:ascii="宋体" w:hAnsi="Calibri" w:eastAsia="宋体" w:cs="宋体"/>
                <w:sz w:val="18"/>
                <w:szCs w:val="18"/>
              </w:rPr>
              <w:t>3</w:t>
            </w:r>
            <w:r>
              <w:rPr>
                <w:rFonts w:ascii="宋体" w:hAnsi="Calibri" w:eastAsia="宋体" w:cs="宋体"/>
                <w:sz w:val="18"/>
                <w:szCs w:val="18"/>
              </w:rPr>
              <w:t>0</w:t>
            </w:r>
          </w:p>
        </w:tc>
        <w:tc>
          <w:tcPr>
            <w:tcW w:w="647" w:type="pct"/>
            <w:tcMar>
              <w:left w:w="28" w:type="dxa"/>
              <w:right w:w="28" w:type="dxa"/>
            </w:tcMar>
            <w:vAlign w:val="center"/>
          </w:tcPr>
          <w:p>
            <w:pPr>
              <w:jc w:val="center"/>
              <w:rPr>
                <w:rFonts w:ascii="宋体" w:hAnsi="Calibri" w:eastAsia="宋体" w:cs="宋体"/>
                <w:sz w:val="18"/>
                <w:szCs w:val="18"/>
              </w:rPr>
            </w:pPr>
            <w:r>
              <w:rPr>
                <w:rFonts w:ascii="宋体" w:hAnsi="Calibri"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344" w:type="pct"/>
            <w:vMerge w:val="continue"/>
            <w:tcMar>
              <w:left w:w="28" w:type="dxa"/>
              <w:right w:w="28" w:type="dxa"/>
            </w:tcMar>
            <w:vAlign w:val="center"/>
          </w:tcPr>
          <w:p>
            <w:pPr>
              <w:widowControl/>
              <w:spacing w:line="180" w:lineRule="exact"/>
              <w:jc w:val="left"/>
              <w:rPr>
                <w:rFonts w:ascii="宋体" w:hAnsi="Calibri" w:eastAsia="宋体" w:cs="Times New Roman"/>
                <w:kern w:val="0"/>
                <w:sz w:val="18"/>
                <w:szCs w:val="18"/>
              </w:rPr>
            </w:pPr>
          </w:p>
        </w:tc>
        <w:tc>
          <w:tcPr>
            <w:tcW w:w="808" w:type="pct"/>
            <w:tcMar>
              <w:left w:w="28" w:type="dxa"/>
              <w:right w:w="28" w:type="dxa"/>
            </w:tcMar>
            <w:vAlign w:val="center"/>
          </w:tcPr>
          <w:p>
            <w:pPr>
              <w:widowControl/>
              <w:spacing w:line="180" w:lineRule="exact"/>
              <w:jc w:val="center"/>
              <w:rPr>
                <w:rFonts w:ascii="宋体" w:hAnsi="宋体" w:eastAsia="宋体" w:cs="宋体"/>
                <w:kern w:val="0"/>
                <w:sz w:val="18"/>
                <w:szCs w:val="18"/>
              </w:rPr>
            </w:pPr>
            <w:r>
              <w:rPr>
                <w:rFonts w:hint="eastAsia" w:ascii="宋体" w:hAnsi="宋体" w:eastAsia="宋体" w:cs="宋体"/>
                <w:kern w:val="0"/>
                <w:sz w:val="18"/>
                <w:szCs w:val="18"/>
              </w:rPr>
              <w:t>评分项得分</w:t>
            </w:r>
          </w:p>
        </w:tc>
        <w:tc>
          <w:tcPr>
            <w:tcW w:w="604" w:type="pct"/>
            <w:tcMar>
              <w:left w:w="28" w:type="dxa"/>
              <w:right w:w="28" w:type="dxa"/>
            </w:tcMar>
            <w:vAlign w:val="center"/>
          </w:tcPr>
          <w:p>
            <w:pPr>
              <w:jc w:val="center"/>
              <w:rPr>
                <w:rFonts w:ascii="宋体" w:hAnsi="Calibri" w:eastAsia="宋体" w:cs="宋体"/>
                <w:sz w:val="18"/>
                <w:szCs w:val="18"/>
              </w:rPr>
            </w:pPr>
          </w:p>
        </w:tc>
        <w:tc>
          <w:tcPr>
            <w:tcW w:w="649" w:type="pct"/>
            <w:tcMar>
              <w:left w:w="28" w:type="dxa"/>
              <w:right w:w="28" w:type="dxa"/>
            </w:tcMar>
            <w:vAlign w:val="center"/>
          </w:tcPr>
          <w:p>
            <w:pPr>
              <w:jc w:val="center"/>
              <w:rPr>
                <w:rFonts w:ascii="宋体" w:hAnsi="Calibri" w:eastAsia="宋体" w:cs="宋体"/>
                <w:sz w:val="18"/>
                <w:szCs w:val="18"/>
              </w:rPr>
            </w:pPr>
          </w:p>
        </w:tc>
        <w:tc>
          <w:tcPr>
            <w:tcW w:w="649" w:type="pct"/>
            <w:tcMar>
              <w:left w:w="28" w:type="dxa"/>
              <w:right w:w="28" w:type="dxa"/>
            </w:tcMar>
            <w:vAlign w:val="center"/>
          </w:tcPr>
          <w:p>
            <w:pPr>
              <w:jc w:val="center"/>
              <w:rPr>
                <w:rFonts w:ascii="宋体" w:hAnsi="Calibri" w:eastAsia="宋体" w:cs="宋体"/>
                <w:sz w:val="18"/>
                <w:szCs w:val="18"/>
              </w:rPr>
            </w:pPr>
          </w:p>
        </w:tc>
        <w:tc>
          <w:tcPr>
            <w:tcW w:w="644" w:type="pct"/>
            <w:tcMar>
              <w:left w:w="28" w:type="dxa"/>
              <w:right w:w="28" w:type="dxa"/>
            </w:tcMar>
            <w:vAlign w:val="center"/>
          </w:tcPr>
          <w:p>
            <w:pPr>
              <w:jc w:val="center"/>
              <w:rPr>
                <w:rFonts w:ascii="宋体" w:hAnsi="Calibri" w:eastAsia="宋体" w:cs="宋体"/>
                <w:sz w:val="18"/>
                <w:szCs w:val="18"/>
              </w:rPr>
            </w:pPr>
          </w:p>
        </w:tc>
        <w:tc>
          <w:tcPr>
            <w:tcW w:w="657" w:type="pct"/>
          </w:tcPr>
          <w:p>
            <w:pPr>
              <w:jc w:val="center"/>
              <w:rPr>
                <w:rFonts w:ascii="宋体" w:hAnsi="Calibri" w:eastAsia="宋体" w:cs="宋体"/>
                <w:sz w:val="18"/>
                <w:szCs w:val="18"/>
              </w:rPr>
            </w:pPr>
          </w:p>
        </w:tc>
        <w:tc>
          <w:tcPr>
            <w:tcW w:w="647" w:type="pct"/>
            <w:tcMar>
              <w:left w:w="28" w:type="dxa"/>
              <w:right w:w="28" w:type="dxa"/>
            </w:tcMar>
            <w:vAlign w:val="center"/>
          </w:tcPr>
          <w:p>
            <w:pPr>
              <w:jc w:val="center"/>
              <w:rPr>
                <w:rFonts w:ascii="宋体" w:hAnsi="Calibri"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344" w:type="pct"/>
            <w:vMerge w:val="continue"/>
            <w:tcMar>
              <w:left w:w="28" w:type="dxa"/>
              <w:right w:w="28" w:type="dxa"/>
            </w:tcMar>
            <w:vAlign w:val="center"/>
          </w:tcPr>
          <w:p>
            <w:pPr>
              <w:widowControl/>
              <w:spacing w:line="180" w:lineRule="exact"/>
              <w:jc w:val="left"/>
              <w:rPr>
                <w:rFonts w:ascii="宋体" w:hAnsi="Calibri" w:eastAsia="宋体" w:cs="Times New Roman"/>
                <w:kern w:val="0"/>
                <w:sz w:val="18"/>
                <w:szCs w:val="18"/>
              </w:rPr>
            </w:pPr>
          </w:p>
        </w:tc>
        <w:tc>
          <w:tcPr>
            <w:tcW w:w="808" w:type="pct"/>
            <w:tcMar>
              <w:left w:w="28" w:type="dxa"/>
              <w:right w:w="28" w:type="dxa"/>
            </w:tcMar>
            <w:vAlign w:val="center"/>
          </w:tcPr>
          <w:p>
            <w:pPr>
              <w:widowControl/>
              <w:spacing w:line="180" w:lineRule="exact"/>
              <w:jc w:val="center"/>
              <w:rPr>
                <w:rFonts w:ascii="宋体" w:hAnsi="宋体" w:eastAsia="宋体" w:cs="宋体"/>
                <w:kern w:val="0"/>
                <w:sz w:val="18"/>
                <w:szCs w:val="18"/>
              </w:rPr>
            </w:pPr>
            <w:r>
              <w:rPr>
                <w:rFonts w:hint="eastAsia" w:ascii="宋体" w:hAnsi="宋体" w:eastAsia="宋体" w:cs="宋体"/>
                <w:kern w:val="0"/>
                <w:sz w:val="18"/>
                <w:szCs w:val="18"/>
              </w:rPr>
              <w:t>总得分</w:t>
            </w:r>
          </w:p>
        </w:tc>
        <w:tc>
          <w:tcPr>
            <w:tcW w:w="3202" w:type="pct"/>
            <w:gridSpan w:val="5"/>
            <w:tcMar>
              <w:left w:w="28" w:type="dxa"/>
              <w:right w:w="28" w:type="dxa"/>
            </w:tcMar>
            <w:vAlign w:val="center"/>
          </w:tcPr>
          <w:p>
            <w:pPr>
              <w:widowControl/>
              <w:spacing w:line="240" w:lineRule="exact"/>
              <w:jc w:val="center"/>
              <w:rPr>
                <w:rFonts w:ascii="宋体" w:hAnsi="Calibri" w:eastAsia="宋体" w:cs="宋体"/>
                <w:kern w:val="0"/>
                <w:sz w:val="18"/>
                <w:szCs w:val="18"/>
              </w:rPr>
            </w:pPr>
            <w:r>
              <w:rPr>
                <w:rFonts w:hint="eastAsia" w:ascii="宋体" w:hAnsi="Calibri" w:eastAsia="宋体" w:cs="宋体"/>
                <w:kern w:val="0"/>
                <w:sz w:val="18"/>
                <w:szCs w:val="18"/>
              </w:rPr>
              <w:t>Q=（Q</w:t>
            </w:r>
            <w:r>
              <w:rPr>
                <w:rFonts w:hint="eastAsia" w:ascii="宋体" w:hAnsi="Calibri" w:eastAsia="宋体" w:cs="宋体"/>
                <w:kern w:val="0"/>
                <w:sz w:val="18"/>
                <w:szCs w:val="18"/>
                <w:vertAlign w:val="subscript"/>
              </w:rPr>
              <w:t>0</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1</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2</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3</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4</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5</w:t>
            </w: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A</w:t>
            </w:r>
            <w:r>
              <w:rPr>
                <w:rFonts w:hint="eastAsia" w:ascii="宋体" w:hAnsi="Calibri" w:eastAsia="宋体" w:cs="宋体"/>
                <w:kern w:val="0"/>
                <w:sz w:val="18"/>
                <w:szCs w:val="18"/>
              </w:rPr>
              <w:t>）/</w:t>
            </w:r>
            <w:r>
              <w:rPr>
                <w:rFonts w:ascii="宋体" w:hAnsi="Calibri" w:eastAsia="宋体" w:cs="宋体"/>
                <w:kern w:val="0"/>
                <w:sz w:val="18"/>
                <w:szCs w:val="18"/>
              </w:rPr>
              <w:t>10</w:t>
            </w:r>
            <w:r>
              <w:rPr>
                <w:rFonts w:hint="eastAsia" w:ascii="宋体" w:hAnsi="Calibri" w:eastAsia="宋体" w:cs="宋体"/>
                <w:kern w:val="0"/>
                <w:sz w:val="18"/>
                <w:szCs w:val="18"/>
              </w:rPr>
              <w:t>；</w:t>
            </w:r>
          </w:p>
          <w:p>
            <w:pPr>
              <w:widowControl/>
              <w:spacing w:line="240" w:lineRule="exact"/>
              <w:jc w:val="center"/>
              <w:rPr>
                <w:rFonts w:ascii="宋体" w:hAnsi="Calibri" w:eastAsia="宋体" w:cs="宋体"/>
                <w:kern w:val="0"/>
                <w:sz w:val="18"/>
                <w:szCs w:val="18"/>
              </w:rPr>
            </w:pPr>
            <w:r>
              <w:rPr>
                <w:rFonts w:hint="eastAsia" w:ascii="宋体" w:hAnsi="Calibri" w:eastAsia="宋体" w:cs="宋体"/>
                <w:kern w:val="0"/>
                <w:sz w:val="18"/>
                <w:szCs w:val="18"/>
              </w:rPr>
              <w:t>Q</w:t>
            </w:r>
            <w:r>
              <w:rPr>
                <w:rFonts w:hint="eastAsia" w:ascii="宋体" w:hAnsi="Calibri" w:eastAsia="宋体" w:cs="宋体"/>
                <w:kern w:val="0"/>
                <w:sz w:val="18"/>
                <w:szCs w:val="18"/>
                <w:vertAlign w:val="subscript"/>
              </w:rPr>
              <w:t>0</w:t>
            </w:r>
            <w:r>
              <w:rPr>
                <w:rFonts w:hint="eastAsia" w:ascii="宋体" w:hAnsi="Calibri" w:eastAsia="宋体" w:cs="宋体"/>
                <w:kern w:val="0"/>
                <w:sz w:val="18"/>
                <w:szCs w:val="18"/>
              </w:rPr>
              <w:t>为控制项基础分值，当满足所有控制项的要求时取4</w:t>
            </w:r>
            <w:r>
              <w:rPr>
                <w:rFonts w:ascii="宋体" w:hAnsi="Calibri" w:eastAsia="宋体" w:cs="宋体"/>
                <w:kern w:val="0"/>
                <w:sz w:val="18"/>
                <w:szCs w:val="18"/>
              </w:rPr>
              <w:t>00</w:t>
            </w:r>
            <w:r>
              <w:rPr>
                <w:rFonts w:hint="eastAsia" w:ascii="宋体" w:hAnsi="Calibri" w:eastAsia="宋体" w:cs="宋体"/>
                <w:kern w:val="0"/>
                <w:sz w:val="18"/>
                <w:szCs w:val="18"/>
              </w:rPr>
              <w:t>分。</w:t>
            </w:r>
          </w:p>
        </w:tc>
        <w:tc>
          <w:tcPr>
            <w:tcW w:w="647" w:type="pct"/>
            <w:vAlign w:val="center"/>
          </w:tcPr>
          <w:p>
            <w:pPr>
              <w:widowControl/>
              <w:spacing w:line="200" w:lineRule="exact"/>
              <w:jc w:val="center"/>
              <w:rPr>
                <w:rFonts w:ascii="宋体" w:hAnsi="Calibri" w:eastAsia="宋体" w:cs="宋体"/>
                <w:kern w:val="0"/>
                <w:sz w:val="18"/>
                <w:szCs w:val="18"/>
              </w:rPr>
            </w:pPr>
          </w:p>
        </w:tc>
      </w:tr>
    </w:tbl>
    <w:p>
      <w:pPr>
        <w:rPr>
          <w:rFonts w:ascii="Calibri" w:hAnsi="黑体" w:eastAsia="黑体" w:cs="黑体"/>
          <w:b/>
          <w:bCs/>
          <w:kern w:val="0"/>
          <w:sz w:val="18"/>
          <w:szCs w:val="18"/>
        </w:rPr>
      </w:pPr>
    </w:p>
    <w:p>
      <w:pPr>
        <w:jc w:val="left"/>
        <w:rPr>
          <w:rFonts w:ascii="黑体" w:hAnsi="黑体" w:eastAsia="黑体" w:cs="黑体"/>
          <w:sz w:val="26"/>
          <w:szCs w:val="26"/>
        </w:rPr>
      </w:pPr>
      <w:r>
        <w:rPr>
          <w:rFonts w:hint="eastAsia" w:ascii="黑体" w:hAnsi="黑体" w:eastAsia="黑体" w:cs="黑体"/>
          <w:sz w:val="26"/>
          <w:szCs w:val="26"/>
        </w:rPr>
        <w:t>四、星级绿色建筑技术要求</w:t>
      </w:r>
    </w:p>
    <w:p>
      <w:pPr>
        <w:spacing w:line="240" w:lineRule="exact"/>
        <w:rPr>
          <w:rFonts w:ascii="宋体" w:hAnsi="宋体" w:cs="宋体"/>
          <w:sz w:val="18"/>
          <w:szCs w:val="18"/>
        </w:rPr>
      </w:pPr>
    </w:p>
    <w:p>
      <w:pPr>
        <w:spacing w:line="240" w:lineRule="exact"/>
        <w:rPr>
          <w:rFonts w:ascii="宋体" w:hAnsi="宋体" w:cs="宋体"/>
          <w:b/>
          <w:bCs/>
          <w:sz w:val="18"/>
          <w:szCs w:val="18"/>
        </w:rPr>
      </w:pPr>
      <w:r>
        <w:rPr>
          <w:rFonts w:hint="eastAsia" w:ascii="宋体" w:hAnsi="宋体" w:cs="宋体"/>
          <w:b/>
          <w:bCs/>
          <w:sz w:val="18"/>
          <w:szCs w:val="18"/>
        </w:rPr>
        <w:t>建筑专业</w:t>
      </w:r>
    </w:p>
    <w:p>
      <w:pPr>
        <w:rPr>
          <w:rFonts w:ascii="黑体" w:hAnsi="宋体" w:eastAsia="黑体"/>
          <w:sz w:val="18"/>
          <w:szCs w:val="18"/>
        </w:rPr>
      </w:pPr>
      <w:r>
        <w:rPr>
          <w:rFonts w:hint="eastAsia" w:ascii="黑体" w:hAnsi="宋体" w:eastAsia="黑体"/>
          <w:sz w:val="18"/>
          <w:szCs w:val="18"/>
        </w:rPr>
        <w:t>3.2.8-1</w:t>
      </w:r>
      <w:r>
        <w:rPr>
          <w:rFonts w:hint="eastAsia" w:ascii="Calibri" w:hAnsi="黑体" w:eastAsia="黑体" w:cs="黑体"/>
          <w:kern w:val="0"/>
          <w:sz w:val="18"/>
          <w:szCs w:val="18"/>
        </w:rPr>
        <w:t>、全装修区域，公共建筑</w:t>
      </w:r>
      <w:r>
        <w:rPr>
          <w:rFonts w:hint="eastAsia" w:ascii="黑体" w:hAnsi="宋体" w:eastAsia="黑体"/>
          <w:sz w:val="18"/>
          <w:szCs w:val="18"/>
        </w:rPr>
        <w:t>______，居住建筑______。</w:t>
      </w:r>
    </w:p>
    <w:p>
      <w:pPr>
        <w:spacing w:line="240" w:lineRule="exact"/>
        <w:rPr>
          <w:rFonts w:cs="黑体" w:asciiTheme="minorEastAsia" w:hAnsiTheme="minorEastAsia"/>
          <w:sz w:val="18"/>
          <w:szCs w:val="18"/>
        </w:rPr>
      </w:pPr>
      <w:r>
        <w:rPr>
          <w:rFonts w:hint="eastAsia" w:cs="黑体" w:asciiTheme="minorEastAsia" w:hAnsiTheme="minorEastAsia"/>
          <w:sz w:val="18"/>
          <w:szCs w:val="18"/>
        </w:rPr>
        <w:t>技术措施说明：（说明项目的装修情况）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sz w:val="18"/>
          <w:szCs w:val="18"/>
        </w:rPr>
      </w:pPr>
    </w:p>
    <w:p>
      <w:pPr>
        <w:spacing w:line="240" w:lineRule="exact"/>
        <w:rPr>
          <w:rFonts w:ascii="黑体" w:hAnsi="宋体" w:eastAsia="黑体"/>
          <w:sz w:val="18"/>
          <w:szCs w:val="18"/>
        </w:rPr>
      </w:pPr>
      <w:r>
        <w:rPr>
          <w:rFonts w:hint="eastAsia" w:ascii="黑体" w:hAnsi="宋体" w:eastAsia="黑体"/>
          <w:sz w:val="18"/>
          <w:szCs w:val="18"/>
        </w:rPr>
        <w:t>3.2.8-2、围护结构热工性能的提高比例为______；或建筑供暖空调负荷降低比例为______。</w:t>
      </w:r>
    </w:p>
    <w:p>
      <w:pPr>
        <w:spacing w:line="240" w:lineRule="exact"/>
        <w:rPr>
          <w:rFonts w:ascii="宋体"/>
          <w:sz w:val="18"/>
          <w:szCs w:val="18"/>
        </w:rPr>
      </w:pPr>
      <w:r>
        <w:rPr>
          <w:rFonts w:hint="eastAsia" w:ascii="宋体" w:hAnsi="宋体" w:cs="宋体"/>
          <w:sz w:val="18"/>
          <w:szCs w:val="18"/>
        </w:rPr>
        <w:t>技术措施说明：（说明围护结构热工性能指标）</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节能计算书；□设计图纸（专业、图号）</w:t>
      </w:r>
    </w:p>
    <w:p>
      <w:pPr>
        <w:spacing w:line="240" w:lineRule="exact"/>
        <w:rPr>
          <w:rFonts w:ascii="黑体" w:hAnsi="宋体" w:eastAsia="黑体"/>
          <w:sz w:val="18"/>
          <w:szCs w:val="18"/>
        </w:rPr>
      </w:pPr>
    </w:p>
    <w:p>
      <w:pPr>
        <w:spacing w:line="240" w:lineRule="exact"/>
        <w:rPr>
          <w:rFonts w:ascii="黑体" w:hAnsi="宋体" w:eastAsia="黑体"/>
          <w:sz w:val="18"/>
          <w:szCs w:val="18"/>
        </w:rPr>
      </w:pPr>
      <w:r>
        <w:rPr>
          <w:rFonts w:hint="eastAsia" w:ascii="黑体" w:hAnsi="宋体" w:eastAsia="黑体"/>
          <w:sz w:val="18"/>
          <w:szCs w:val="18"/>
        </w:rPr>
        <w:t>3.2.8-4、住宅建筑卧室分户墙两侧房间之间的空气声隔声性能为______；卧室分户楼板两侧房间之间的空气声隔声性能为______；卧室分户楼板的撞击声隔声性能为______。</w:t>
      </w:r>
    </w:p>
    <w:p>
      <w:pPr>
        <w:spacing w:line="240" w:lineRule="exact"/>
        <w:rPr>
          <w:rFonts w:ascii="宋体"/>
          <w:sz w:val="18"/>
          <w:szCs w:val="18"/>
        </w:rPr>
      </w:pPr>
      <w:r>
        <w:rPr>
          <w:rFonts w:hint="eastAsia" w:ascii="宋体" w:hAnsi="宋体" w:cs="宋体"/>
          <w:sz w:val="18"/>
          <w:szCs w:val="18"/>
        </w:rPr>
        <w:t>技术措施说明：（说明住宅建筑卧室分户墙两侧房间之间的具体构造以及达到的空气声隔声性能；说明卧室分户楼板两侧房间之间具体构造以及达到的空气声隔声性能；说明卧室分户楼板的具体构造以及达到的撞击声隔声性能）</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围护结构隔声量计算报告；□设计图纸（专业、图号）</w:t>
      </w:r>
    </w:p>
    <w:p>
      <w:pPr>
        <w:spacing w:line="240" w:lineRule="exact"/>
        <w:rPr>
          <w:rFonts w:ascii="宋体" w:hAnsi="宋体" w:cs="宋体"/>
          <w:sz w:val="18"/>
          <w:szCs w:val="18"/>
        </w:rPr>
      </w:pPr>
    </w:p>
    <w:p>
      <w:pPr>
        <w:spacing w:line="240" w:lineRule="exact"/>
        <w:rPr>
          <w:rFonts w:ascii="黑体" w:hAnsi="宋体" w:eastAsia="黑体"/>
          <w:sz w:val="18"/>
          <w:szCs w:val="18"/>
        </w:rPr>
      </w:pPr>
      <w:r>
        <w:rPr>
          <w:rFonts w:hint="eastAsia" w:ascii="黑体" w:hAnsi="宋体" w:eastAsia="黑体"/>
          <w:sz w:val="18"/>
          <w:szCs w:val="18"/>
        </w:rPr>
        <w:t>3.2.8-5、室内空气主要空气污染物浓度降低比例为______。</w:t>
      </w:r>
    </w:p>
    <w:p>
      <w:pPr>
        <w:spacing w:line="240" w:lineRule="exact"/>
        <w:rPr>
          <w:rFonts w:ascii="宋体"/>
          <w:sz w:val="18"/>
          <w:szCs w:val="18"/>
        </w:rPr>
      </w:pPr>
      <w:r>
        <w:rPr>
          <w:rFonts w:hint="eastAsia" w:ascii="宋体" w:hAnsi="宋体" w:cs="宋体"/>
          <w:sz w:val="18"/>
          <w:szCs w:val="18"/>
        </w:rPr>
        <w:t>技术措施说明：（说明室内空气主要空气污染物浓度降低的主要技术措施及相较标准降低的比例）</w:t>
      </w:r>
    </w:p>
    <w:p>
      <w:pPr>
        <w:spacing w:line="240" w:lineRule="exact"/>
        <w:rPr>
          <w:b/>
          <w:bCs/>
          <w:color w:val="000000" w:themeColor="text1"/>
          <w:sz w:val="18"/>
          <w:szCs w:val="18"/>
          <w14:textFill>
            <w14:solidFill>
              <w14:schemeClr w14:val="tx1"/>
            </w14:solidFill>
          </w14:textFill>
        </w:rPr>
      </w:pPr>
      <w:r>
        <w:rPr>
          <w:rFonts w:hint="eastAsia" w:ascii="宋体" w:hAnsi="宋体" w:cs="宋体"/>
          <w:sz w:val="18"/>
          <w:szCs w:val="18"/>
        </w:rPr>
        <w:t>证明材料：</w:t>
      </w:r>
      <w:r>
        <w:rPr>
          <w:rFonts w:hint="eastAsia" w:ascii="宋体" w:hAnsi="宋体"/>
          <w:sz w:val="18"/>
          <w:szCs w:val="18"/>
        </w:rPr>
        <w:t>□室内</w:t>
      </w:r>
      <w:r>
        <w:rPr>
          <w:rFonts w:hint="eastAsia" w:ascii="宋体" w:hAnsi="宋体" w:cs="宋体"/>
          <w:sz w:val="18"/>
          <w:szCs w:val="18"/>
        </w:rPr>
        <w:t>污染物浓度预评估分析报告；</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p>
    <w:p>
      <w:pPr>
        <w:spacing w:line="240" w:lineRule="exact"/>
        <w:rPr>
          <w:rFonts w:ascii="黑体" w:hAnsi="宋体" w:eastAsia="黑体"/>
          <w:sz w:val="18"/>
          <w:szCs w:val="18"/>
        </w:rPr>
      </w:pPr>
      <w:r>
        <w:rPr>
          <w:rFonts w:hint="eastAsia" w:ascii="黑体" w:hAnsi="宋体" w:eastAsia="黑体"/>
          <w:sz w:val="18"/>
          <w:szCs w:val="18"/>
        </w:rPr>
        <w:t>3.2.8-6、绿色建材应用比例为______。</w:t>
      </w:r>
    </w:p>
    <w:p>
      <w:pPr>
        <w:spacing w:line="240" w:lineRule="exact"/>
        <w:rPr>
          <w:rFonts w:ascii="黑体" w:hAnsi="宋体" w:eastAsia="宋体"/>
          <w:sz w:val="18"/>
          <w:szCs w:val="18"/>
          <w:highlight w:val="yellow"/>
        </w:rPr>
      </w:pPr>
      <w:r>
        <w:rPr>
          <w:rFonts w:hint="eastAsia" w:ascii="宋体" w:hAnsi="宋体" w:cs="宋体"/>
          <w:sz w:val="18"/>
          <w:szCs w:val="18"/>
        </w:rPr>
        <w:t>技术措施说明：（说明本项目绿色建材的应用情况</w:t>
      </w:r>
      <w:r>
        <w:rPr>
          <w:rFonts w:hint="eastAsia" w:ascii="宋体" w:hAnsi="宋体" w:eastAsia="宋体" w:cs="宋体"/>
          <w:sz w:val="18"/>
          <w:szCs w:val="18"/>
        </w:rPr>
        <w:t>，包括主要绿色建材品类情况。</w:t>
      </w:r>
    </w:p>
    <w:p>
      <w:pPr>
        <w:spacing w:line="240" w:lineRule="exact"/>
        <w:rPr>
          <w:rFonts w:ascii="黑体" w:hAnsi="宋体" w:eastAsia="黑体"/>
          <w:sz w:val="18"/>
          <w:szCs w:val="18"/>
        </w:rPr>
      </w:pPr>
    </w:p>
    <w:p>
      <w:pPr>
        <w:spacing w:line="240" w:lineRule="exact"/>
        <w:rPr>
          <w:rFonts w:ascii="黑体" w:hAnsi="宋体" w:eastAsia="黑体"/>
          <w:sz w:val="18"/>
          <w:szCs w:val="18"/>
        </w:rPr>
      </w:pPr>
      <w:r>
        <w:rPr>
          <w:rFonts w:hint="eastAsia" w:ascii="黑体" w:hAnsi="宋体" w:eastAsia="黑体"/>
          <w:sz w:val="18"/>
          <w:szCs w:val="18"/>
        </w:rPr>
        <w:t>3.2.8-7、全寿命期建筑碳排放强度为______。</w:t>
      </w:r>
    </w:p>
    <w:p>
      <w:pPr>
        <w:spacing w:line="240" w:lineRule="exact"/>
        <w:rPr>
          <w:rFonts w:ascii="宋体"/>
          <w:sz w:val="18"/>
          <w:szCs w:val="18"/>
        </w:rPr>
      </w:pPr>
      <w:r>
        <w:rPr>
          <w:rFonts w:hint="eastAsia" w:ascii="宋体" w:hAnsi="宋体" w:cs="宋体"/>
          <w:sz w:val="18"/>
          <w:szCs w:val="18"/>
        </w:rPr>
        <w:t>技术措施说明：（说明本项目全寿命期的碳排放强度，以及降低碳排放强度所采用的技术措施）</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全寿命期建筑碳排放强度计算报告；□设计图纸（专业、图号）</w:t>
      </w:r>
    </w:p>
    <w:p>
      <w:pPr>
        <w:spacing w:line="240" w:lineRule="exact"/>
        <w:rPr>
          <w:rFonts w:ascii="黑体" w:hAnsi="宋体" w:eastAsia="黑体"/>
          <w:sz w:val="18"/>
          <w:szCs w:val="18"/>
        </w:rPr>
      </w:pPr>
    </w:p>
    <w:p>
      <w:pPr>
        <w:spacing w:line="240" w:lineRule="exact"/>
        <w:rPr>
          <w:rFonts w:ascii="黑体" w:hAnsi="宋体" w:eastAsia="黑体"/>
          <w:sz w:val="18"/>
          <w:szCs w:val="18"/>
        </w:rPr>
      </w:pPr>
      <w:r>
        <w:rPr>
          <w:rFonts w:hint="eastAsia" w:ascii="黑体" w:hAnsi="宋体" w:eastAsia="黑体"/>
          <w:sz w:val="18"/>
          <w:szCs w:val="18"/>
        </w:rPr>
        <w:t>3.2.8-8、外窗/幕墙气密性能为______级。</w:t>
      </w:r>
    </w:p>
    <w:p>
      <w:pPr>
        <w:spacing w:line="240" w:lineRule="exact"/>
        <w:rPr>
          <w:rFonts w:ascii="宋体"/>
          <w:sz w:val="18"/>
          <w:szCs w:val="18"/>
        </w:rPr>
      </w:pPr>
      <w:r>
        <w:rPr>
          <w:rFonts w:hint="eastAsia" w:ascii="宋体" w:hAnsi="宋体" w:cs="宋体"/>
          <w:sz w:val="18"/>
          <w:szCs w:val="18"/>
        </w:rPr>
        <w:t>技术措施说明：（说明外窗/幕墙的具体做法/类别及其气密性能）</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p>
    <w:p>
      <w:pPr>
        <w:spacing w:line="240" w:lineRule="exact"/>
        <w:rPr>
          <w:rFonts w:cs="宋体"/>
          <w:b/>
          <w:bCs/>
          <w:sz w:val="18"/>
          <w:szCs w:val="18"/>
        </w:rPr>
      </w:pPr>
      <w:r>
        <w:rPr>
          <w:rFonts w:hint="eastAsia" w:cs="宋体"/>
          <w:b/>
          <w:bCs/>
          <w:sz w:val="18"/>
          <w:szCs w:val="18"/>
        </w:rPr>
        <w:t>给排水专业</w:t>
      </w:r>
    </w:p>
    <w:p>
      <w:pPr>
        <w:spacing w:line="240" w:lineRule="exact"/>
        <w:rPr>
          <w:rFonts w:ascii="黑体" w:hAnsi="宋体" w:eastAsia="黑体"/>
          <w:sz w:val="18"/>
          <w:szCs w:val="18"/>
        </w:rPr>
      </w:pPr>
      <w:r>
        <w:rPr>
          <w:rFonts w:hint="eastAsia" w:ascii="黑体" w:hAnsi="宋体" w:eastAsia="黑体"/>
          <w:sz w:val="18"/>
          <w:szCs w:val="18"/>
        </w:rPr>
        <w:t>3.2.8-3、节水器具水效等级为___级。</w:t>
      </w:r>
    </w:p>
    <w:p>
      <w:pPr>
        <w:spacing w:line="240" w:lineRule="exact"/>
        <w:rPr>
          <w:rFonts w:ascii="宋体"/>
          <w:sz w:val="18"/>
          <w:szCs w:val="18"/>
        </w:rPr>
      </w:pPr>
      <w:r>
        <w:rPr>
          <w:rFonts w:hint="eastAsia" w:ascii="宋体" w:hAnsi="宋体" w:cs="宋体"/>
          <w:sz w:val="18"/>
          <w:szCs w:val="18"/>
        </w:rPr>
        <w:t>技术措施说明：（说明卫生器具的具体水效等级及对应的流量参数）</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rPr>
          <w:rFonts w:ascii="Calibri" w:hAnsi="黑体" w:eastAsia="黑体" w:cs="黑体"/>
          <w:b/>
          <w:bCs/>
          <w:kern w:val="0"/>
          <w:sz w:val="18"/>
          <w:szCs w:val="18"/>
        </w:rPr>
      </w:pPr>
    </w:p>
    <w:p>
      <w:pPr>
        <w:jc w:val="left"/>
        <w:rPr>
          <w:rFonts w:hint="eastAsia" w:ascii="黑体" w:hAnsi="黑体" w:eastAsia="黑体" w:cs="黑体"/>
          <w:sz w:val="26"/>
          <w:szCs w:val="26"/>
        </w:rPr>
      </w:pPr>
      <w:r>
        <w:rPr>
          <w:rFonts w:hint="eastAsia" w:ascii="黑体" w:hAnsi="黑体" w:eastAsia="黑体" w:cs="黑体"/>
          <w:sz w:val="26"/>
          <w:szCs w:val="26"/>
        </w:rPr>
        <w:t>五、绿色建筑设计技术措施</w:t>
      </w:r>
    </w:p>
    <w:p>
      <w:pPr>
        <w:jc w:val="left"/>
        <w:rPr>
          <w:rFonts w:hint="eastAsia" w:ascii="黑体" w:hAnsi="黑体" w:eastAsia="黑体" w:cs="黑体"/>
          <w:sz w:val="26"/>
          <w:szCs w:val="26"/>
        </w:rPr>
      </w:pPr>
    </w:p>
    <w:p>
      <w:r>
        <w:rPr>
          <w:rFonts w:hint="eastAsia" w:ascii="黑体" w:hAnsi="黑体" w:eastAsia="黑体" w:cs="黑体"/>
          <w:b/>
          <w:bCs/>
          <w:sz w:val="24"/>
          <w:szCs w:val="24"/>
        </w:rPr>
        <w:t>1、安全耐久</w:t>
      </w:r>
      <w:r>
        <w:rPr>
          <w:rFonts w:hint="eastAsia"/>
        </w:rPr>
        <w:t>（实际得分</w:t>
      </w:r>
      <w:r>
        <w:rPr>
          <w:rFonts w:hint="eastAsia"/>
          <w:u w:val="single"/>
        </w:rPr>
        <w:t>　　</w:t>
      </w:r>
      <w:r>
        <w:rPr>
          <w:rFonts w:hint="eastAsia"/>
        </w:rPr>
        <w:t>分）</w:t>
      </w:r>
    </w:p>
    <w:p>
      <w:pPr>
        <w:spacing w:line="240" w:lineRule="exact"/>
        <w:jc w:val="center"/>
        <w:rPr>
          <w:rFonts w:ascii="Calibri" w:hAnsi="Calibri" w:eastAsia="宋体" w:cs="宋体"/>
          <w:b/>
          <w:bCs/>
          <w:szCs w:val="21"/>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必须说明内容（控制项）</w:t>
      </w:r>
    </w:p>
    <w:p>
      <w:pPr>
        <w:spacing w:line="240" w:lineRule="exact"/>
        <w:jc w:val="center"/>
        <w:rPr>
          <w:b/>
          <w:bCs/>
          <w:sz w:val="18"/>
          <w:szCs w:val="18"/>
        </w:rPr>
      </w:pPr>
    </w:p>
    <w:p>
      <w:pPr>
        <w:spacing w:line="240" w:lineRule="exact"/>
        <w:rPr>
          <w:rFonts w:cs="宋体"/>
          <w:b/>
          <w:bCs/>
          <w:sz w:val="18"/>
          <w:szCs w:val="18"/>
        </w:rPr>
      </w:pPr>
      <w:r>
        <w:rPr>
          <w:rFonts w:hint="eastAsia" w:cs="宋体"/>
          <w:b/>
          <w:bCs/>
          <w:sz w:val="18"/>
          <w:szCs w:val="18"/>
        </w:rPr>
        <w:t>规划专业</w:t>
      </w:r>
    </w:p>
    <w:tbl>
      <w:tblPr>
        <w:tblStyle w:val="9"/>
        <w:tblpPr w:leftFromText="180" w:rightFromText="180" w:vertAnchor="text" w:tblpY="1"/>
        <w:tblOverlap w:val="never"/>
        <w:tblW w:w="8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20" w:lineRule="exact"/>
              <w:jc w:val="center"/>
              <w:rPr>
                <w:rFonts w:ascii="黑体" w:hAnsi="宋体" w:eastAsia="黑体" w:cs="黑体"/>
                <w:kern w:val="0"/>
                <w:sz w:val="18"/>
                <w:szCs w:val="18"/>
              </w:rPr>
            </w:pPr>
            <w:r>
              <w:rPr>
                <w:rFonts w:hint="eastAsia" w:ascii="MS Mincho" w:hAnsi="MS Mincho" w:eastAsia="黑体" w:cs="MS Mincho"/>
                <w:kern w:val="0"/>
                <w:sz w:val="18"/>
                <w:szCs w:val="18"/>
              </w:rPr>
              <w:t>条文分值</w:t>
            </w:r>
          </w:p>
        </w:tc>
        <w:tc>
          <w:tcPr>
            <w:tcW w:w="47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20" w:lineRule="exact"/>
              <w:jc w:val="center"/>
              <w:rPr>
                <w:rFonts w:ascii="黑体" w:hAnsi="宋体" w:eastAsia="黑体" w:cs="黑体"/>
                <w:kern w:val="0"/>
                <w:sz w:val="18"/>
                <w:szCs w:val="18"/>
              </w:rPr>
            </w:pPr>
            <w:r>
              <w:rPr>
                <w:rFonts w:hint="eastAsia" w:ascii="黑体" w:hAnsi="宋体" w:eastAsia="黑体" w:cs="黑体"/>
                <w:kern w:val="0"/>
                <w:sz w:val="18"/>
                <w:szCs w:val="18"/>
              </w:rPr>
              <w:t>适用</w:t>
            </w:r>
          </w:p>
          <w:p>
            <w:pPr>
              <w:spacing w:line="220" w:lineRule="exact"/>
              <w:jc w:val="center"/>
              <w:rPr>
                <w:rFonts w:ascii="黑体" w:hAnsi="宋体" w:eastAsia="黑体" w:cs="黑体"/>
                <w:kern w:val="0"/>
                <w:sz w:val="18"/>
                <w:szCs w:val="18"/>
              </w:rPr>
            </w:pPr>
            <w:r>
              <w:rPr>
                <w:rFonts w:hint="eastAsia" w:ascii="黑体" w:hAnsi="宋体" w:eastAsia="黑体" w:cs="黑体"/>
                <w:kern w:val="0"/>
                <w:sz w:val="18"/>
                <w:szCs w:val="18"/>
              </w:rPr>
              <w:t>与否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47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宋体" w:cs="宋体"/>
          <w:sz w:val="18"/>
          <w:szCs w:val="18"/>
        </w:rPr>
      </w:pPr>
    </w:p>
    <w:p>
      <w:pPr>
        <w:spacing w:line="240" w:lineRule="exact"/>
        <w:rPr>
          <w:rFonts w:ascii="黑体" w:hAnsi="宋体" w:eastAsia="黑体" w:cs="黑体"/>
          <w:sz w:val="18"/>
          <w:szCs w:val="18"/>
        </w:rPr>
      </w:pPr>
    </w:p>
    <w:p>
      <w:pPr>
        <w:spacing w:line="240" w:lineRule="exact"/>
        <w:rPr>
          <w:rFonts w:ascii="黑体" w:hAnsi="宋体" w:eastAsia="黑体"/>
          <w:sz w:val="18"/>
          <w:szCs w:val="18"/>
        </w:rPr>
      </w:pPr>
      <w:r>
        <w:rPr>
          <w:rFonts w:ascii="黑体" w:hAnsi="宋体" w:eastAsia="黑体" w:cs="黑体"/>
          <w:sz w:val="18"/>
          <w:szCs w:val="18"/>
        </w:rPr>
        <w:t>4.1.1</w:t>
      </w:r>
      <w:r>
        <w:rPr>
          <w:rFonts w:hint="eastAsia" w:ascii="黑体" w:hAnsi="宋体" w:eastAsia="黑体" w:cs="黑体"/>
          <w:sz w:val="18"/>
          <w:szCs w:val="18"/>
        </w:rPr>
        <w:t>场地应避开滑坡、泥石流等地质危险地段，易发生洪涝地区应有可靠的防洪涝基础设施；场地应无危险化学品、易燃易爆危险源的威胁，应无电磁辐射、含氡土壤的危害。</w:t>
      </w:r>
    </w:p>
    <w:p>
      <w:pPr>
        <w:spacing w:line="240" w:lineRule="exact"/>
        <w:rPr>
          <w:rFonts w:ascii="宋体"/>
          <w:sz w:val="18"/>
          <w:szCs w:val="18"/>
        </w:rPr>
      </w:pPr>
      <w:r>
        <w:rPr>
          <w:rFonts w:hint="eastAsia" w:ascii="宋体" w:hAnsi="宋体" w:cs="宋体"/>
          <w:sz w:val="18"/>
          <w:szCs w:val="18"/>
        </w:rPr>
        <w:t>技术措施说明：</w:t>
      </w:r>
      <w:r>
        <w:rPr>
          <w:rFonts w:hint="eastAsia" w:ascii="宋体"/>
          <w:sz w:val="18"/>
          <w:szCs w:val="18"/>
        </w:rPr>
        <w:t>（</w:t>
      </w:r>
      <w:r>
        <w:rPr>
          <w:rFonts w:hint="eastAsia" w:ascii="宋体" w:hAnsi="宋体" w:cs="宋体"/>
          <w:sz w:val="18"/>
          <w:szCs w:val="18"/>
        </w:rPr>
        <w:t>应说明对场地内部潜在危险源的检测评估结果及避让措施</w:t>
      </w:r>
      <w:r>
        <w:rPr>
          <w:rFonts w:hint="eastAsia" w:ascii="宋体"/>
          <w:sz w:val="18"/>
          <w:szCs w:val="18"/>
        </w:rPr>
        <w:t>）</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项目区位图；</w:t>
      </w:r>
      <w:r>
        <w:rPr>
          <w:rFonts w:hint="eastAsia" w:ascii="宋体" w:hAnsi="宋体"/>
          <w:sz w:val="18"/>
          <w:szCs w:val="18"/>
        </w:rPr>
        <w:t>□</w:t>
      </w:r>
      <w:r>
        <w:rPr>
          <w:rFonts w:hint="eastAsia" w:ascii="宋体" w:hAnsi="宋体" w:cs="宋体"/>
          <w:sz w:val="18"/>
          <w:szCs w:val="18"/>
        </w:rPr>
        <w:t>场地地形图；</w:t>
      </w:r>
      <w:r>
        <w:rPr>
          <w:rFonts w:hint="eastAsia" w:ascii="宋体" w:hAnsi="宋体"/>
          <w:sz w:val="18"/>
          <w:szCs w:val="18"/>
        </w:rPr>
        <w:t>□工程地质</w:t>
      </w:r>
      <w:r>
        <w:rPr>
          <w:rFonts w:hint="eastAsia" w:ascii="宋体" w:hAnsi="宋体" w:cs="宋体"/>
          <w:sz w:val="18"/>
          <w:szCs w:val="18"/>
        </w:rPr>
        <w:t>勘察报告；</w:t>
      </w:r>
      <w:r>
        <w:rPr>
          <w:rFonts w:hint="eastAsia" w:ascii="宋体" w:hAnsi="宋体"/>
          <w:sz w:val="18"/>
          <w:szCs w:val="18"/>
        </w:rPr>
        <w:t>□</w:t>
      </w:r>
      <w:r>
        <w:rPr>
          <w:rFonts w:hint="eastAsia" w:ascii="宋体" w:hAnsi="宋体" w:cs="宋体"/>
          <w:sz w:val="18"/>
          <w:szCs w:val="18"/>
        </w:rPr>
        <w:t>环境治理验收报告（如有）；</w:t>
      </w:r>
      <w:r>
        <w:rPr>
          <w:rFonts w:hint="eastAsia" w:ascii="宋体" w:hAnsi="宋体"/>
          <w:sz w:val="18"/>
          <w:szCs w:val="18"/>
        </w:rPr>
        <w:t>□</w:t>
      </w:r>
      <w:r>
        <w:rPr>
          <w:rFonts w:hint="eastAsia" w:ascii="宋体" w:hAnsi="宋体" w:cs="宋体"/>
          <w:sz w:val="18"/>
          <w:szCs w:val="18"/>
        </w:rPr>
        <w:t>环境影响登记表（如有）；</w:t>
      </w:r>
      <w:r>
        <w:rPr>
          <w:rFonts w:hint="eastAsia" w:ascii="宋体" w:hAnsi="宋体"/>
          <w:sz w:val="18"/>
          <w:szCs w:val="18"/>
        </w:rPr>
        <w:t>□</w:t>
      </w:r>
      <w:r>
        <w:rPr>
          <w:rFonts w:hint="eastAsia" w:ascii="宋体" w:hAnsi="宋体" w:cs="宋体"/>
          <w:sz w:val="18"/>
          <w:szCs w:val="18"/>
        </w:rPr>
        <w:t>土壤氡浓度检测报告</w:t>
      </w:r>
    </w:p>
    <w:p>
      <w:pPr>
        <w:spacing w:line="240" w:lineRule="exact"/>
        <w:rPr>
          <w:rFonts w:ascii="宋体" w:hAnsi="宋体" w:cs="宋体"/>
          <w:sz w:val="18"/>
          <w:szCs w:val="18"/>
        </w:rPr>
      </w:pPr>
    </w:p>
    <w:p>
      <w:pPr>
        <w:spacing w:line="240" w:lineRule="exact"/>
        <w:rPr>
          <w:rFonts w:cs="宋体"/>
          <w:b/>
          <w:bCs/>
          <w:sz w:val="18"/>
          <w:szCs w:val="18"/>
        </w:rPr>
      </w:pPr>
      <w:r>
        <w:rPr>
          <w:rFonts w:hint="eastAsia" w:cs="宋体"/>
          <w:b/>
          <w:bCs/>
          <w:sz w:val="18"/>
          <w:szCs w:val="18"/>
        </w:rPr>
        <w:t>建筑专业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4.1.5</w:t>
      </w:r>
      <w:r>
        <w:rPr>
          <w:rFonts w:hint="eastAsia" w:ascii="黑体" w:eastAsia="黑体" w:cs="黑体"/>
          <w:sz w:val="18"/>
          <w:szCs w:val="18"/>
        </w:rPr>
        <w:t>建筑外门窗必须安装牢固，其抗风压性能和水密性能应符合国家现行有关标准的规定。</w:t>
      </w:r>
    </w:p>
    <w:p>
      <w:pPr>
        <w:spacing w:line="240" w:lineRule="exact"/>
        <w:rPr>
          <w:rFonts w:ascii="黑体" w:eastAsia="黑体"/>
          <w:sz w:val="18"/>
          <w:szCs w:val="18"/>
        </w:rPr>
      </w:pPr>
      <w:r>
        <w:rPr>
          <w:rFonts w:hint="eastAsia" w:ascii="宋体" w:hAnsi="宋体" w:cs="宋体"/>
          <w:sz w:val="18"/>
          <w:szCs w:val="18"/>
        </w:rPr>
        <w:t>技术措施说明：（对外门窗牢靠性、抗风压性能和水密性能进行说明；明确性能等级及参数要求）</w:t>
      </w:r>
    </w:p>
    <w:p>
      <w:pPr>
        <w:spacing w:line="240" w:lineRule="exact"/>
        <w:rPr>
          <w:rFonts w:cs="宋体"/>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4.1.6</w:t>
      </w:r>
      <w:r>
        <w:rPr>
          <w:rFonts w:hint="eastAsia" w:ascii="黑体" w:eastAsia="黑体" w:cs="黑体"/>
          <w:sz w:val="18"/>
          <w:szCs w:val="18"/>
        </w:rPr>
        <w:t>卫生间、浴室的地面应设置防水层，墙面、顶棚应设置防潮层。</w:t>
      </w:r>
    </w:p>
    <w:p>
      <w:pPr>
        <w:spacing w:line="240" w:lineRule="exact"/>
        <w:rPr>
          <w:rFonts w:ascii="黑体" w:eastAsia="黑体"/>
          <w:sz w:val="18"/>
          <w:szCs w:val="18"/>
        </w:rPr>
      </w:pPr>
      <w:r>
        <w:rPr>
          <w:rFonts w:hint="eastAsia" w:ascii="宋体" w:hAnsi="宋体" w:cs="宋体"/>
          <w:sz w:val="18"/>
          <w:szCs w:val="18"/>
        </w:rPr>
        <w:t>技术措施说明：（对卫生间、浴室的地面和墙面、顶棚构造做法进行说明，并应符合现行《建筑与市政工程防水通用规范》的规定）</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4.1.7</w:t>
      </w:r>
      <w:r>
        <w:rPr>
          <w:rFonts w:hint="eastAsia" w:ascii="黑体" w:eastAsia="黑体" w:cs="黑体"/>
          <w:sz w:val="18"/>
          <w:szCs w:val="18"/>
        </w:rPr>
        <w:t>走廊、疏散通道等通行空间应满足紧急疏散、应急救护等要求，且应保持畅通。</w:t>
      </w:r>
    </w:p>
    <w:p>
      <w:pPr>
        <w:spacing w:line="240" w:lineRule="exact"/>
        <w:rPr>
          <w:rFonts w:ascii="黑体" w:eastAsia="黑体"/>
          <w:sz w:val="18"/>
          <w:szCs w:val="18"/>
        </w:rPr>
      </w:pPr>
      <w:r>
        <w:rPr>
          <w:rFonts w:hint="eastAsia" w:ascii="宋体" w:hAnsi="宋体" w:cs="宋体"/>
          <w:sz w:val="18"/>
          <w:szCs w:val="18"/>
        </w:rPr>
        <w:t>技术措施说明：（对走廊、疏散通道等空间的通畅性进行说明；对满足应急救护等要求进行说明）</w:t>
      </w:r>
    </w:p>
    <w:p>
      <w:pPr>
        <w:spacing w:line="240" w:lineRule="exact"/>
        <w:rPr>
          <w:rFonts w:cs="宋体"/>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4.1.8</w:t>
      </w:r>
      <w:r>
        <w:rPr>
          <w:rFonts w:hint="eastAsia" w:ascii="黑体" w:eastAsia="黑体" w:cs="黑体"/>
          <w:sz w:val="18"/>
          <w:szCs w:val="18"/>
        </w:rPr>
        <w:t>应具有安全防护的警示和引导标识系统。</w:t>
      </w:r>
    </w:p>
    <w:p>
      <w:pPr>
        <w:spacing w:line="240" w:lineRule="exact"/>
        <w:rPr>
          <w:rFonts w:ascii="黑体" w:eastAsia="黑体"/>
          <w:sz w:val="18"/>
          <w:szCs w:val="18"/>
        </w:rPr>
      </w:pPr>
      <w:r>
        <w:rPr>
          <w:rFonts w:hint="eastAsia" w:ascii="宋体" w:hAnsi="宋体" w:cs="宋体"/>
          <w:sz w:val="18"/>
          <w:szCs w:val="18"/>
        </w:rPr>
        <w:t>技术措施说明：（对安全方式的警示和引导标识系统进行说明）</w:t>
      </w:r>
    </w:p>
    <w:p>
      <w:pPr>
        <w:spacing w:line="240" w:lineRule="exact"/>
        <w:rPr>
          <w:rFonts w:ascii="宋体" w:hAns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cs="宋体"/>
          <w:b/>
          <w:bCs/>
          <w:sz w:val="18"/>
          <w:szCs w:val="18"/>
        </w:rPr>
      </w:pPr>
    </w:p>
    <w:p>
      <w:pPr>
        <w:spacing w:line="240" w:lineRule="exact"/>
        <w:rPr>
          <w:rFonts w:cs="宋体"/>
          <w:b/>
          <w:bCs/>
          <w:sz w:val="18"/>
          <w:szCs w:val="18"/>
        </w:rPr>
      </w:pPr>
      <w:r>
        <w:rPr>
          <w:rFonts w:hint="eastAsia" w:cs="宋体"/>
          <w:b/>
          <w:bCs/>
          <w:sz w:val="18"/>
          <w:szCs w:val="18"/>
        </w:rPr>
        <w:t>结构专业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4.1.2</w:t>
      </w:r>
      <w:r>
        <w:rPr>
          <w:rFonts w:hint="eastAsia" w:ascii="黑体" w:eastAsia="黑体" w:cs="黑体"/>
          <w:sz w:val="18"/>
          <w:szCs w:val="18"/>
        </w:rPr>
        <w:t>建筑结构应满足承载力和建筑使用功能要求。建筑外墙、屋面、门窗、幕墙及外保温等围护结构应满足安全、耐久和防护的要求。</w:t>
      </w:r>
    </w:p>
    <w:p>
      <w:pPr>
        <w:spacing w:line="240" w:lineRule="exact"/>
        <w:ind w:left="1"/>
        <w:rPr>
          <w:rFonts w:ascii="宋体"/>
          <w:sz w:val="18"/>
          <w:szCs w:val="18"/>
        </w:rPr>
      </w:pPr>
      <w:r>
        <w:rPr>
          <w:rFonts w:hint="eastAsia" w:ascii="宋体" w:hAnsi="宋体" w:cs="宋体"/>
          <w:sz w:val="18"/>
          <w:szCs w:val="18"/>
        </w:rPr>
        <w:t>技术措施说明：（说明建筑结构和外墙，门窗幕墙及外保温等围护结构的构造满足安全性耐久性的做法）</w:t>
      </w:r>
    </w:p>
    <w:p>
      <w:pPr>
        <w:spacing w:line="240" w:lineRule="exact"/>
        <w:ind w:left="450" w:hanging="450" w:hangingChars="250"/>
        <w:rPr>
          <w:rFonts w:ascii="黑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结构荷载计算书；□设计图纸（专业、图号）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4.1.3</w:t>
      </w:r>
      <w:r>
        <w:rPr>
          <w:rFonts w:hint="eastAsia" w:ascii="黑体" w:eastAsia="黑体" w:cs="黑体"/>
          <w:sz w:val="18"/>
          <w:szCs w:val="18"/>
        </w:rPr>
        <w:t>外遮阳、太阳能设施、空调室外机位、外墙花池等外部设施应与建筑主体结构统一设计、施工，并应具备安装、检修与维护条件。</w:t>
      </w:r>
    </w:p>
    <w:p>
      <w:pPr>
        <w:spacing w:line="240" w:lineRule="exact"/>
        <w:rPr>
          <w:rFonts w:ascii="宋体"/>
          <w:sz w:val="18"/>
          <w:szCs w:val="18"/>
        </w:rPr>
      </w:pPr>
      <w:r>
        <w:rPr>
          <w:rFonts w:hint="eastAsia" w:ascii="宋体" w:hAnsi="宋体" w:cs="宋体"/>
          <w:sz w:val="18"/>
          <w:szCs w:val="18"/>
        </w:rPr>
        <w:t>技术措施说明：（对外部设施与建筑主体结构的统一设计、施工进行说明）</w:t>
      </w:r>
    </w:p>
    <w:p>
      <w:pPr>
        <w:spacing w:line="240" w:lineRule="exact"/>
        <w:rPr>
          <w:rFonts w:ascii="黑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 xml:space="preserve">结构计算书； </w:t>
      </w:r>
      <w:r>
        <w:rPr>
          <w:rFonts w:hint="eastAsia" w:ascii="宋体" w:hAnsi="宋体"/>
          <w:sz w:val="18"/>
          <w:szCs w:val="18"/>
        </w:rPr>
        <w:sym w:font="Wingdings 2" w:char="00A3"/>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4.1.4</w:t>
      </w:r>
      <w:r>
        <w:rPr>
          <w:rFonts w:hint="eastAsia" w:ascii="黑体" w:eastAsia="黑体" w:cs="黑体"/>
          <w:sz w:val="18"/>
          <w:szCs w:val="18"/>
        </w:rPr>
        <w:t>建筑内部的非结构构件、设备及附属设施等应连接牢固并能适应主体结构变形。</w:t>
      </w:r>
    </w:p>
    <w:p>
      <w:pPr>
        <w:spacing w:line="240" w:lineRule="exact"/>
        <w:rPr>
          <w:rFonts w:ascii="黑体" w:eastAsia="黑体"/>
          <w:sz w:val="18"/>
          <w:szCs w:val="18"/>
        </w:rPr>
      </w:pPr>
      <w:r>
        <w:rPr>
          <w:rFonts w:hint="eastAsia" w:ascii="宋体" w:hAnsi="宋体" w:cs="宋体"/>
          <w:sz w:val="18"/>
          <w:szCs w:val="18"/>
        </w:rPr>
        <w:t>技术措施说明：（对建筑内部的非结构件、设备及附属设施等的连接情况进行说明）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关键连接构件计算书；□设计图纸（专业、图号）</w:t>
      </w:r>
    </w:p>
    <w:p>
      <w:pPr>
        <w:spacing w:line="240" w:lineRule="exact"/>
        <w:rPr>
          <w:rFonts w:ascii="宋体" w:hAnsi="宋体" w:cs="宋体"/>
          <w:sz w:val="18"/>
          <w:szCs w:val="18"/>
        </w:rPr>
      </w:pPr>
    </w:p>
    <w:p>
      <w:pPr>
        <w:spacing w:line="240" w:lineRule="exact"/>
        <w:rPr>
          <w:rFonts w:ascii="宋体" w:hAnsi="宋体" w:cs="宋体"/>
          <w:sz w:val="18"/>
          <w:szCs w:val="18"/>
        </w:rPr>
      </w:pPr>
      <w:r>
        <w:rPr>
          <w:rFonts w:hint="eastAsia" w:ascii="宋体" w:hAnsi="宋体" w:cs="宋体"/>
          <w:b/>
          <w:bCs/>
          <w:sz w:val="18"/>
          <w:szCs w:val="18"/>
        </w:rPr>
        <w:t>电气</w:t>
      </w:r>
      <w:r>
        <w:rPr>
          <w:rFonts w:hint="eastAsia" w:cs="宋体"/>
          <w:b/>
          <w:bCs/>
          <w:sz w:val="18"/>
          <w:szCs w:val="18"/>
        </w:rPr>
        <w:t>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4.1.7</w:t>
      </w:r>
      <w:r>
        <w:rPr>
          <w:rFonts w:hint="eastAsia" w:ascii="黑体" w:eastAsia="黑体" w:cs="黑体"/>
          <w:sz w:val="18"/>
          <w:szCs w:val="18"/>
        </w:rPr>
        <w:t>走廊、疏散通道等通行空间应满足紧急疏散、应急救护等要求，且应保持畅通。</w:t>
      </w:r>
    </w:p>
    <w:p>
      <w:pPr>
        <w:spacing w:line="240" w:lineRule="exact"/>
        <w:rPr>
          <w:rFonts w:ascii="黑体" w:eastAsia="黑体"/>
          <w:sz w:val="18"/>
          <w:szCs w:val="18"/>
        </w:rPr>
      </w:pPr>
      <w:r>
        <w:rPr>
          <w:rFonts w:hint="eastAsia" w:ascii="宋体" w:hAnsi="宋体" w:cs="宋体"/>
          <w:sz w:val="18"/>
          <w:szCs w:val="18"/>
        </w:rPr>
        <w:t>技术措施说明：（对建筑首层大堂、门厅等设置紧急救护电源插座的设计情况进行说明）</w:t>
      </w:r>
    </w:p>
    <w:p>
      <w:pPr>
        <w:spacing w:line="240" w:lineRule="exact"/>
        <w:rPr>
          <w:rFonts w:cs="宋体"/>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rFonts w:cs="宋体"/>
          <w:b/>
          <w:bCs/>
          <w:sz w:val="18"/>
          <w:szCs w:val="18"/>
        </w:rPr>
      </w:pPr>
      <w:r>
        <w:rPr>
          <w:rFonts w:hint="eastAsia" w:cs="宋体"/>
          <w:b/>
          <w:bCs/>
          <w:sz w:val="18"/>
          <w:szCs w:val="18"/>
        </w:rPr>
        <w:t>全专业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eastAsia="黑体"/>
          <w:sz w:val="18"/>
          <w:szCs w:val="18"/>
        </w:rPr>
      </w:pPr>
      <w:r>
        <w:rPr>
          <w:rFonts w:ascii="黑体" w:eastAsia="黑体" w:cs="黑体"/>
          <w:sz w:val="18"/>
          <w:szCs w:val="18"/>
        </w:rPr>
        <w:t>4.1.</w:t>
      </w:r>
      <w:r>
        <w:rPr>
          <w:rFonts w:hint="eastAsia" w:ascii="黑体" w:eastAsia="黑体" w:cs="黑体"/>
          <w:sz w:val="18"/>
          <w:szCs w:val="18"/>
        </w:rPr>
        <w:t>9安全耐久相关技术要求应符合现行强制性工程建设规范的规定。</w:t>
      </w:r>
    </w:p>
    <w:p>
      <w:pPr>
        <w:spacing w:line="240" w:lineRule="exact"/>
        <w:rPr>
          <w:rFonts w:ascii="黑体" w:eastAsia="黑体"/>
          <w:sz w:val="18"/>
          <w:szCs w:val="18"/>
        </w:rPr>
      </w:pPr>
      <w:r>
        <w:rPr>
          <w:rFonts w:hint="eastAsia" w:ascii="宋体" w:hAnsi="宋体" w:cs="宋体"/>
          <w:sz w:val="18"/>
          <w:szCs w:val="18"/>
        </w:rPr>
        <w:t>技术措施说明：（说明本专业适用的强制性工程建设规范的技术要求及设计情况）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jc w:val="center"/>
        <w:rPr>
          <w:rFonts w:cs="宋体"/>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自选说明内容（评分项）</w:t>
      </w:r>
    </w:p>
    <w:p>
      <w:pPr>
        <w:spacing w:line="240" w:lineRule="exact"/>
        <w:jc w:val="center"/>
        <w:rPr>
          <w:b/>
          <w:bCs/>
          <w:sz w:val="18"/>
          <w:szCs w:val="18"/>
        </w:rPr>
      </w:pP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636"/>
        <w:gridCol w:w="636"/>
        <w:gridCol w:w="636"/>
        <w:gridCol w:w="636"/>
        <w:gridCol w:w="636"/>
        <w:gridCol w:w="636"/>
        <w:gridCol w:w="636"/>
        <w:gridCol w:w="637"/>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.2.1</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.2.2</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.2.3</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.2.4</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.2.6</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.2.7</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w:t>
            </w:r>
            <w:r>
              <w:rPr>
                <w:rFonts w:ascii="Calibri" w:hAnsi="Calibri" w:eastAsia="宋体" w:cs="Calibri"/>
                <w:sz w:val="18"/>
                <w:szCs w:val="18"/>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r>
    </w:tbl>
    <w:p>
      <w:pPr>
        <w:spacing w:line="240" w:lineRule="exact"/>
        <w:jc w:val="center"/>
        <w:rPr>
          <w:b/>
          <w:bCs/>
          <w:sz w:val="18"/>
          <w:szCs w:val="18"/>
        </w:rPr>
      </w:pPr>
    </w:p>
    <w:p>
      <w:pPr>
        <w:spacing w:line="240" w:lineRule="exact"/>
        <w:jc w:val="center"/>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ascii="黑体" w:hAnsi="宋体" w:eastAsia="黑体" w:cs="黑体"/>
          <w:sz w:val="18"/>
          <w:szCs w:val="18"/>
        </w:rPr>
      </w:pPr>
      <w:r>
        <w:rPr>
          <w:rFonts w:ascii="黑体" w:hAnsi="宋体" w:eastAsia="黑体" w:cs="黑体"/>
          <w:sz w:val="18"/>
          <w:szCs w:val="18"/>
        </w:rPr>
        <w:t>4.2.2</w:t>
      </w:r>
      <w:r>
        <w:rPr>
          <w:rFonts w:hint="eastAsia" w:ascii="黑体" w:hAnsi="宋体" w:eastAsia="黑体" w:cs="黑体"/>
          <w:sz w:val="18"/>
          <w:szCs w:val="18"/>
        </w:rPr>
        <w:t>采取保障人员安全的防护措施。</w:t>
      </w:r>
    </w:p>
    <w:p>
      <w:pPr>
        <w:spacing w:line="240" w:lineRule="exact"/>
        <w:rPr>
          <w:rFonts w:ascii="宋体" w:hAnsi="宋体" w:cs="宋体"/>
          <w:sz w:val="18"/>
          <w:szCs w:val="18"/>
        </w:rPr>
      </w:pPr>
      <w:r>
        <w:rPr>
          <w:rFonts w:hint="eastAsia" w:ascii="宋体" w:hAnsi="宋体" w:cs="宋体"/>
          <w:sz w:val="18"/>
          <w:szCs w:val="18"/>
        </w:rPr>
        <w:t>技术措施说明：（说明采取何种措施提高安全防护水平）</w:t>
      </w:r>
    </w:p>
    <w:p>
      <w:pPr>
        <w:spacing w:line="240" w:lineRule="exact"/>
        <w:rPr>
          <w:rFonts w:asci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cs="黑体"/>
          <w:sz w:val="18"/>
          <w:szCs w:val="18"/>
        </w:rPr>
      </w:pPr>
      <w:r>
        <w:rPr>
          <w:rFonts w:ascii="黑体" w:hAnsi="宋体" w:eastAsia="黑体" w:cs="黑体"/>
          <w:sz w:val="18"/>
          <w:szCs w:val="18"/>
        </w:rPr>
        <w:t>4.2.3</w:t>
      </w:r>
      <w:r>
        <w:rPr>
          <w:rFonts w:hint="eastAsia" w:ascii="黑体" w:hAnsi="宋体" w:eastAsia="黑体" w:cs="黑体"/>
          <w:sz w:val="18"/>
          <w:szCs w:val="18"/>
        </w:rPr>
        <w:t>采用具有安全防护功能的产品或配件。</w:t>
      </w:r>
    </w:p>
    <w:p>
      <w:pPr>
        <w:spacing w:line="240" w:lineRule="exact"/>
        <w:rPr>
          <w:rFonts w:ascii="宋体"/>
          <w:sz w:val="18"/>
          <w:szCs w:val="18"/>
        </w:rPr>
      </w:pPr>
      <w:r>
        <w:rPr>
          <w:rFonts w:hint="eastAsia" w:ascii="宋体" w:hAnsi="宋体" w:cs="宋体"/>
          <w:sz w:val="18"/>
          <w:szCs w:val="18"/>
        </w:rPr>
        <w:t>技术措施说明：（对安全防护功能的产品或配件进行说明）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cs="黑体"/>
          <w:sz w:val="18"/>
          <w:szCs w:val="18"/>
        </w:rPr>
      </w:pPr>
      <w:r>
        <w:rPr>
          <w:rFonts w:ascii="黑体" w:hAnsi="宋体" w:eastAsia="黑体" w:cs="黑体"/>
          <w:sz w:val="18"/>
          <w:szCs w:val="18"/>
        </w:rPr>
        <w:t>4.2.4</w:t>
      </w:r>
      <w:r>
        <w:rPr>
          <w:rFonts w:hint="eastAsia" w:ascii="黑体" w:hAnsi="宋体" w:eastAsia="黑体" w:cs="黑体"/>
          <w:sz w:val="18"/>
          <w:szCs w:val="18"/>
        </w:rPr>
        <w:t>室内外地面或路面设置防滑措施。</w:t>
      </w:r>
    </w:p>
    <w:p>
      <w:pPr>
        <w:spacing w:line="240" w:lineRule="exact"/>
        <w:rPr>
          <w:rFonts w:ascii="宋体" w:cs="宋体"/>
          <w:sz w:val="18"/>
          <w:szCs w:val="18"/>
        </w:rPr>
      </w:pPr>
      <w:r>
        <w:rPr>
          <w:rFonts w:hint="eastAsia" w:ascii="宋体" w:hAnsi="宋体" w:cs="宋体"/>
          <w:sz w:val="18"/>
          <w:szCs w:val="18"/>
        </w:rPr>
        <w:t>技术措施说明：（说明室内防滑措施的设置情况，包括防滑构造做法、防滑饰面材料的防滑性能等级要求等）</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cs="黑体"/>
          <w:sz w:val="18"/>
          <w:szCs w:val="18"/>
        </w:rPr>
      </w:pPr>
      <w:r>
        <w:rPr>
          <w:rFonts w:ascii="黑体" w:hAnsi="宋体" w:eastAsia="黑体" w:cs="黑体"/>
          <w:sz w:val="18"/>
          <w:szCs w:val="18"/>
        </w:rPr>
        <w:t>4.2.5</w:t>
      </w:r>
      <w:r>
        <w:rPr>
          <w:rFonts w:hint="eastAsia" w:ascii="黑体" w:hAnsi="宋体" w:eastAsia="黑体" w:cs="黑体"/>
          <w:sz w:val="18"/>
          <w:szCs w:val="18"/>
        </w:rPr>
        <w:t>采取人车分流措施，且步行和自行车交通系统有充足照明。</w:t>
      </w:r>
    </w:p>
    <w:p>
      <w:pPr>
        <w:spacing w:line="240" w:lineRule="exact"/>
        <w:rPr>
          <w:rFonts w:ascii="宋体"/>
          <w:sz w:val="18"/>
          <w:szCs w:val="18"/>
          <w:u w:val="single"/>
        </w:rPr>
      </w:pPr>
      <w:r>
        <w:rPr>
          <w:rFonts w:hint="eastAsia" w:ascii="宋体" w:hAnsi="宋体" w:cs="宋体"/>
          <w:sz w:val="18"/>
          <w:szCs w:val="18"/>
        </w:rPr>
        <w:t>技术措施说明：（说明人车分流措施）</w:t>
      </w:r>
    </w:p>
    <w:p>
      <w:pPr>
        <w:spacing w:line="240" w:lineRule="exact"/>
        <w:rPr>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□人车分流分析文件</w:t>
      </w:r>
    </w:p>
    <w:p>
      <w:pPr>
        <w:spacing w:line="240" w:lineRule="exact"/>
        <w:rPr>
          <w:rFonts w:ascii="黑体" w:hAnsi="宋体" w:eastAsia="黑体" w:cs="黑体"/>
          <w:sz w:val="18"/>
          <w:szCs w:val="18"/>
        </w:rPr>
      </w:pPr>
      <w:r>
        <w:rPr>
          <w:rFonts w:ascii="黑体" w:hAnsi="宋体" w:eastAsia="黑体" w:cs="黑体"/>
          <w:sz w:val="18"/>
          <w:szCs w:val="18"/>
        </w:rPr>
        <w:t>4.2.6</w:t>
      </w:r>
      <w:r>
        <w:rPr>
          <w:rFonts w:hint="eastAsia" w:ascii="黑体" w:hAnsi="宋体" w:eastAsia="黑体" w:cs="黑体"/>
          <w:sz w:val="18"/>
          <w:szCs w:val="18"/>
        </w:rPr>
        <w:t>采取提升建筑适变性的措施。</w:t>
      </w:r>
    </w:p>
    <w:p>
      <w:pPr>
        <w:spacing w:line="240" w:lineRule="exact"/>
        <w:rPr>
          <w:rFonts w:ascii="宋体"/>
          <w:sz w:val="18"/>
          <w:szCs w:val="18"/>
          <w:u w:val="single"/>
        </w:rPr>
      </w:pPr>
      <w:r>
        <w:rPr>
          <w:rFonts w:hint="eastAsia" w:ascii="宋体" w:hAnsi="宋体" w:cs="宋体"/>
          <w:sz w:val="18"/>
          <w:szCs w:val="18"/>
        </w:rPr>
        <w:t>技术措施说明：（说明采取与建筑功能和空间变化相适应的设备设施布置方式或控制方式）</w:t>
      </w:r>
    </w:p>
    <w:p>
      <w:pPr>
        <w:spacing w:line="240" w:lineRule="exact"/>
        <w:rPr>
          <w:rFonts w:asci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cs="黑体"/>
          <w:sz w:val="18"/>
          <w:szCs w:val="18"/>
        </w:rPr>
      </w:pPr>
      <w:r>
        <w:rPr>
          <w:rFonts w:ascii="黑体" w:hAnsi="宋体" w:eastAsia="黑体" w:cs="黑体"/>
          <w:sz w:val="18"/>
          <w:szCs w:val="18"/>
        </w:rPr>
        <w:t>4.2.7</w:t>
      </w:r>
      <w:r>
        <w:rPr>
          <w:rFonts w:hint="eastAsia" w:ascii="黑体" w:hAnsi="宋体" w:eastAsia="黑体" w:cs="黑体"/>
          <w:sz w:val="18"/>
          <w:szCs w:val="18"/>
        </w:rPr>
        <w:t>-2采取提升建筑部品部件耐久性的措施。</w:t>
      </w:r>
    </w:p>
    <w:p>
      <w:pPr>
        <w:spacing w:line="240" w:lineRule="exact"/>
        <w:rPr>
          <w:rFonts w:ascii="宋体"/>
          <w:sz w:val="18"/>
          <w:szCs w:val="18"/>
          <w:u w:val="single"/>
        </w:rPr>
      </w:pPr>
      <w:r>
        <w:rPr>
          <w:rFonts w:hint="eastAsia" w:ascii="宋体" w:hAnsi="宋体" w:cs="宋体"/>
          <w:sz w:val="18"/>
          <w:szCs w:val="18"/>
        </w:rPr>
        <w:t>技术措施说明：（说明所采取的门窗、遮阳产品的耐久性）</w:t>
      </w:r>
    </w:p>
    <w:p>
      <w:pPr>
        <w:spacing w:line="240" w:lineRule="exact"/>
        <w:rPr>
          <w:rFonts w:asci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cs="黑体"/>
          <w:sz w:val="18"/>
          <w:szCs w:val="18"/>
        </w:rPr>
      </w:pPr>
      <w:r>
        <w:rPr>
          <w:rFonts w:ascii="黑体" w:hAnsi="宋体" w:eastAsia="黑体" w:cs="黑体"/>
          <w:sz w:val="18"/>
          <w:szCs w:val="18"/>
        </w:rPr>
        <w:t>4.2.9</w:t>
      </w:r>
      <w:r>
        <w:rPr>
          <w:rFonts w:hint="eastAsia" w:ascii="黑体" w:hAnsi="宋体" w:eastAsia="黑体" w:cs="黑体"/>
          <w:sz w:val="18"/>
          <w:szCs w:val="18"/>
        </w:rPr>
        <w:t>合理采用耐久性好、易维护的装饰装修建筑材料。</w:t>
      </w:r>
    </w:p>
    <w:p>
      <w:pPr>
        <w:spacing w:line="240" w:lineRule="exact"/>
        <w:rPr>
          <w:rFonts w:ascii="宋体"/>
          <w:sz w:val="18"/>
          <w:szCs w:val="18"/>
          <w:u w:val="single"/>
        </w:rPr>
      </w:pPr>
      <w:r>
        <w:rPr>
          <w:rFonts w:hint="eastAsia" w:ascii="宋体" w:hAnsi="宋体" w:cs="宋体"/>
          <w:sz w:val="18"/>
          <w:szCs w:val="18"/>
        </w:rPr>
        <w:t>技术措施说明：（说明装饰装修建筑材料采用耐久性好、易维护材料的情况）</w:t>
      </w:r>
    </w:p>
    <w:p>
      <w:pPr>
        <w:spacing w:line="240" w:lineRule="exact"/>
        <w:rPr>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sz w:val="18"/>
          <w:szCs w:val="18"/>
        </w:rPr>
      </w:pPr>
    </w:p>
    <w:p>
      <w:pPr>
        <w:spacing w:line="240" w:lineRule="exact"/>
        <w:rPr>
          <w:rFonts w:ascii="宋体"/>
          <w:b/>
          <w:bCs/>
          <w:sz w:val="18"/>
          <w:szCs w:val="18"/>
        </w:rPr>
      </w:pPr>
      <w:r>
        <w:rPr>
          <w:rFonts w:hint="eastAsia" w:ascii="宋体"/>
          <w:b/>
          <w:bCs/>
          <w:sz w:val="18"/>
          <w:szCs w:val="18"/>
        </w:rPr>
        <w:t>结构专业</w:t>
      </w:r>
    </w:p>
    <w:p>
      <w:pPr>
        <w:spacing w:line="240" w:lineRule="exact"/>
        <w:rPr>
          <w:rFonts w:ascii="黑体" w:hAnsi="宋体" w:eastAsia="黑体" w:cs="黑体"/>
          <w:sz w:val="18"/>
          <w:szCs w:val="18"/>
        </w:rPr>
      </w:pPr>
      <w:r>
        <w:rPr>
          <w:rFonts w:ascii="黑体" w:hAnsi="宋体" w:eastAsia="黑体" w:cs="黑体"/>
          <w:sz w:val="18"/>
          <w:szCs w:val="18"/>
        </w:rPr>
        <w:t>4.2.1</w:t>
      </w:r>
      <w:r>
        <w:rPr>
          <w:rFonts w:hint="eastAsia" w:ascii="黑体" w:hAnsi="宋体" w:eastAsia="黑体" w:cs="黑体"/>
          <w:sz w:val="18"/>
          <w:szCs w:val="18"/>
        </w:rPr>
        <w:t>采用基于性能的抗震设计并合理提高建筑的抗震性能。</w:t>
      </w:r>
    </w:p>
    <w:p>
      <w:pPr>
        <w:spacing w:line="240" w:lineRule="exact"/>
        <w:rPr>
          <w:rFonts w:ascii="宋体"/>
          <w:sz w:val="18"/>
          <w:szCs w:val="18"/>
        </w:rPr>
      </w:pPr>
      <w:r>
        <w:rPr>
          <w:rFonts w:hint="eastAsia" w:ascii="宋体" w:hAnsi="宋体" w:cs="宋体"/>
          <w:sz w:val="18"/>
          <w:szCs w:val="18"/>
        </w:rPr>
        <w:t>技术措施说明：（如何基于性能进行抗震设计并提供合理提高建筑抗震性能的简要说明）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结构抗震优化分析报告；□设计图纸（专业、图号）</w:t>
      </w:r>
    </w:p>
    <w:p>
      <w:pPr>
        <w:spacing w:line="240" w:lineRule="exact"/>
        <w:rPr>
          <w:rFonts w:ascii="黑体" w:hAnsi="宋体" w:eastAsia="黑体" w:cs="黑体"/>
          <w:sz w:val="18"/>
          <w:szCs w:val="18"/>
        </w:rPr>
      </w:pPr>
      <w:r>
        <w:rPr>
          <w:rFonts w:ascii="黑体" w:hAnsi="宋体" w:eastAsia="黑体" w:cs="黑体"/>
          <w:sz w:val="18"/>
          <w:szCs w:val="18"/>
        </w:rPr>
        <w:t>4.2.8</w:t>
      </w:r>
      <w:r>
        <w:rPr>
          <w:rFonts w:hint="eastAsia" w:ascii="黑体" w:hAnsi="宋体" w:eastAsia="黑体" w:cs="黑体"/>
          <w:sz w:val="18"/>
          <w:szCs w:val="18"/>
        </w:rPr>
        <w:t>提高建筑结构材料的耐久性。</w:t>
      </w:r>
    </w:p>
    <w:p>
      <w:pPr>
        <w:spacing w:line="240" w:lineRule="exact"/>
        <w:rPr>
          <w:rFonts w:ascii="宋体"/>
          <w:sz w:val="18"/>
          <w:szCs w:val="18"/>
          <w:u w:val="single"/>
        </w:rPr>
      </w:pPr>
      <w:r>
        <w:rPr>
          <w:rFonts w:hint="eastAsia" w:ascii="宋体" w:hAnsi="宋体" w:cs="宋体"/>
          <w:sz w:val="18"/>
          <w:szCs w:val="18"/>
        </w:rPr>
        <w:t>技术措施说明：（说明提高建筑结构材料耐久性的设计内容）</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rFonts w:ascii="宋体" w:hAnsi="宋体" w:cs="宋体"/>
          <w:b/>
          <w:bCs/>
          <w:sz w:val="18"/>
          <w:szCs w:val="18"/>
        </w:rPr>
      </w:pPr>
      <w:r>
        <w:rPr>
          <w:rFonts w:hint="eastAsia" w:ascii="宋体" w:hAnsi="宋体" w:cs="宋体"/>
          <w:b/>
          <w:bCs/>
          <w:sz w:val="18"/>
          <w:szCs w:val="18"/>
        </w:rPr>
        <w:t>给排水专业</w:t>
      </w:r>
    </w:p>
    <w:p>
      <w:pPr>
        <w:spacing w:line="240" w:lineRule="exact"/>
        <w:rPr>
          <w:rFonts w:ascii="黑体" w:hAnsi="宋体" w:eastAsia="黑体" w:cs="黑体"/>
          <w:sz w:val="18"/>
          <w:szCs w:val="18"/>
        </w:rPr>
      </w:pPr>
      <w:r>
        <w:rPr>
          <w:rFonts w:ascii="黑体" w:hAnsi="宋体" w:eastAsia="黑体" w:cs="黑体"/>
          <w:sz w:val="18"/>
          <w:szCs w:val="18"/>
        </w:rPr>
        <w:t>4.2.7</w:t>
      </w:r>
      <w:r>
        <w:rPr>
          <w:rFonts w:hint="eastAsia" w:ascii="黑体" w:hAnsi="宋体" w:eastAsia="黑体" w:cs="黑体"/>
          <w:sz w:val="18"/>
          <w:szCs w:val="18"/>
        </w:rPr>
        <w:t>采取提升建筑部品部件耐久性的措施。</w:t>
      </w:r>
    </w:p>
    <w:p>
      <w:pPr>
        <w:spacing w:line="240" w:lineRule="exact"/>
        <w:rPr>
          <w:rFonts w:ascii="宋体"/>
          <w:sz w:val="18"/>
          <w:szCs w:val="18"/>
          <w:u w:val="single"/>
        </w:rPr>
      </w:pPr>
      <w:r>
        <w:rPr>
          <w:rFonts w:hint="eastAsia" w:ascii="宋体" w:hAnsi="宋体" w:cs="宋体"/>
          <w:sz w:val="18"/>
          <w:szCs w:val="18"/>
        </w:rPr>
        <w:t>技术措施说明：（说明给排水系统的管材管线管件以及水嘴、阀门的耐久性要求）</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rFonts w:ascii="宋体" w:hAnsi="宋体" w:cs="宋体"/>
          <w:b/>
          <w:bCs/>
          <w:sz w:val="18"/>
          <w:szCs w:val="18"/>
        </w:rPr>
      </w:pPr>
      <w:r>
        <w:rPr>
          <w:rFonts w:hint="eastAsia" w:ascii="宋体" w:hAnsi="宋体" w:cs="宋体"/>
          <w:b/>
          <w:bCs/>
          <w:sz w:val="18"/>
          <w:szCs w:val="18"/>
        </w:rPr>
        <w:t>暖通专业</w:t>
      </w:r>
    </w:p>
    <w:p>
      <w:pPr>
        <w:spacing w:line="240" w:lineRule="exact"/>
        <w:rPr>
          <w:rFonts w:ascii="黑体" w:hAnsi="宋体" w:eastAsia="黑体" w:cs="黑体"/>
          <w:sz w:val="18"/>
          <w:szCs w:val="18"/>
        </w:rPr>
      </w:pPr>
      <w:r>
        <w:rPr>
          <w:rFonts w:ascii="黑体" w:hAnsi="宋体" w:eastAsia="黑体" w:cs="黑体"/>
          <w:sz w:val="18"/>
          <w:szCs w:val="18"/>
        </w:rPr>
        <w:t>4.2.7</w:t>
      </w:r>
      <w:r>
        <w:rPr>
          <w:rFonts w:hint="eastAsia" w:ascii="黑体" w:hAnsi="宋体" w:eastAsia="黑体" w:cs="黑体"/>
          <w:sz w:val="18"/>
          <w:szCs w:val="18"/>
        </w:rPr>
        <w:t>-1采取提升建筑部品部件耐久性的措施。</w:t>
      </w:r>
    </w:p>
    <w:p>
      <w:pPr>
        <w:spacing w:line="240" w:lineRule="exact"/>
        <w:rPr>
          <w:rFonts w:ascii="宋体"/>
          <w:sz w:val="18"/>
          <w:szCs w:val="18"/>
          <w:u w:val="single"/>
        </w:rPr>
      </w:pPr>
      <w:r>
        <w:rPr>
          <w:rFonts w:hint="eastAsia" w:ascii="宋体" w:hAnsi="宋体" w:cs="宋体"/>
          <w:sz w:val="18"/>
          <w:szCs w:val="18"/>
        </w:rPr>
        <w:t>技术措施说明：（说明空调系统的管材管线管件的耐久性要求）</w:t>
      </w:r>
    </w:p>
    <w:p>
      <w:pPr>
        <w:spacing w:line="240" w:lineRule="exact"/>
        <w:rPr>
          <w:rFonts w:asci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rFonts w:ascii="宋体"/>
          <w:b/>
          <w:bCs/>
          <w:sz w:val="18"/>
          <w:szCs w:val="18"/>
        </w:rPr>
      </w:pPr>
      <w:r>
        <w:rPr>
          <w:rFonts w:hint="eastAsia" w:ascii="宋体" w:hAnsi="宋体" w:cs="宋体"/>
          <w:b/>
          <w:bCs/>
          <w:sz w:val="18"/>
          <w:szCs w:val="18"/>
        </w:rPr>
        <w:t>电气专业</w:t>
      </w:r>
    </w:p>
    <w:p>
      <w:pPr>
        <w:spacing w:line="240" w:lineRule="exact"/>
        <w:rPr>
          <w:rFonts w:ascii="黑体" w:hAnsi="宋体" w:eastAsia="黑体" w:cs="黑体"/>
          <w:sz w:val="18"/>
          <w:szCs w:val="18"/>
        </w:rPr>
      </w:pPr>
      <w:r>
        <w:rPr>
          <w:rFonts w:ascii="黑体" w:hAnsi="宋体" w:eastAsia="黑体" w:cs="黑体"/>
          <w:sz w:val="18"/>
          <w:szCs w:val="18"/>
        </w:rPr>
        <w:t>4.2.7</w:t>
      </w:r>
      <w:r>
        <w:rPr>
          <w:rFonts w:hint="eastAsia" w:ascii="黑体" w:hAnsi="宋体" w:eastAsia="黑体" w:cs="黑体"/>
          <w:sz w:val="18"/>
          <w:szCs w:val="18"/>
        </w:rPr>
        <w:t>-1采取提升建筑部品部件耐久性的措施。</w:t>
      </w:r>
    </w:p>
    <w:p>
      <w:pPr>
        <w:spacing w:line="240" w:lineRule="exact"/>
        <w:rPr>
          <w:rFonts w:ascii="宋体"/>
          <w:sz w:val="18"/>
          <w:szCs w:val="18"/>
          <w:u w:val="single"/>
        </w:rPr>
      </w:pPr>
      <w:r>
        <w:rPr>
          <w:rFonts w:hint="eastAsia" w:ascii="宋体" w:hAnsi="宋体" w:cs="宋体"/>
          <w:sz w:val="18"/>
          <w:szCs w:val="18"/>
        </w:rPr>
        <w:t>技术措施说明：（说明所采用的电线电缆的耐久性要求）</w:t>
      </w:r>
    </w:p>
    <w:p>
      <w:pPr>
        <w:spacing w:line="240" w:lineRule="exact"/>
        <w:rPr>
          <w:rFonts w:asci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sz w:val="18"/>
          <w:szCs w:val="18"/>
        </w:rPr>
      </w:pPr>
    </w:p>
    <w:p>
      <w:pPr>
        <w:spacing w:line="240" w:lineRule="exact"/>
        <w:rPr>
          <w:b/>
          <w:bCs/>
          <w:sz w:val="18"/>
          <w:szCs w:val="18"/>
        </w:rPr>
      </w:pPr>
      <w:r>
        <w:rPr>
          <w:rFonts w:hint="eastAsia"/>
          <w:b/>
          <w:bCs/>
          <w:sz w:val="18"/>
          <w:szCs w:val="18"/>
        </w:rPr>
        <w:t>景观专业</w:t>
      </w:r>
    </w:p>
    <w:p>
      <w:pPr>
        <w:spacing w:line="240" w:lineRule="exact"/>
        <w:rPr>
          <w:rFonts w:ascii="黑体" w:hAnsi="宋体" w:eastAsia="黑体" w:cs="黑体"/>
          <w:sz w:val="18"/>
          <w:szCs w:val="18"/>
        </w:rPr>
      </w:pPr>
      <w:r>
        <w:rPr>
          <w:rFonts w:ascii="黑体" w:hAnsi="宋体" w:eastAsia="黑体" w:cs="黑体"/>
          <w:sz w:val="18"/>
          <w:szCs w:val="18"/>
        </w:rPr>
        <w:t>4.2.4</w:t>
      </w:r>
      <w:r>
        <w:rPr>
          <w:rFonts w:hint="eastAsia" w:ascii="黑体" w:hAnsi="宋体" w:eastAsia="黑体" w:cs="黑体"/>
          <w:sz w:val="18"/>
          <w:szCs w:val="18"/>
        </w:rPr>
        <w:t>室内外地面或路面设置防滑措施。</w:t>
      </w:r>
    </w:p>
    <w:p>
      <w:pPr>
        <w:spacing w:line="240" w:lineRule="exact"/>
        <w:rPr>
          <w:rFonts w:ascii="宋体" w:cs="宋体"/>
          <w:sz w:val="18"/>
          <w:szCs w:val="18"/>
        </w:rPr>
      </w:pPr>
      <w:r>
        <w:rPr>
          <w:rFonts w:hint="eastAsia" w:ascii="宋体" w:hAnsi="宋体" w:cs="宋体"/>
          <w:sz w:val="18"/>
          <w:szCs w:val="18"/>
        </w:rPr>
        <w:t>技术措施说明：（说明室外防滑措施的设置情况，包括防滑构造做法、防滑饰面材料的防滑性能等级要求等）</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ascii="黑体" w:hAnsi="宋体" w:eastAsia="黑体" w:cs="黑体"/>
          <w:sz w:val="18"/>
          <w:szCs w:val="18"/>
        </w:rPr>
      </w:pPr>
      <w:r>
        <w:rPr>
          <w:rFonts w:ascii="黑体" w:hAnsi="宋体" w:eastAsia="黑体" w:cs="黑体"/>
          <w:sz w:val="18"/>
          <w:szCs w:val="18"/>
        </w:rPr>
        <w:t>4.2.5</w:t>
      </w:r>
      <w:r>
        <w:rPr>
          <w:rFonts w:hint="eastAsia" w:ascii="黑体" w:hAnsi="宋体" w:eastAsia="黑体" w:cs="黑体"/>
          <w:sz w:val="18"/>
          <w:szCs w:val="18"/>
        </w:rPr>
        <w:t>采取人车分流措施，且步行和自行车交通系统有充足照明。</w:t>
      </w:r>
    </w:p>
    <w:p>
      <w:pPr>
        <w:spacing w:line="240" w:lineRule="exact"/>
        <w:rPr>
          <w:rFonts w:ascii="宋体"/>
          <w:sz w:val="18"/>
          <w:szCs w:val="18"/>
          <w:u w:val="single"/>
        </w:rPr>
      </w:pPr>
      <w:r>
        <w:rPr>
          <w:rFonts w:hint="eastAsia" w:ascii="宋体" w:hAnsi="宋体" w:cs="宋体"/>
          <w:sz w:val="18"/>
          <w:szCs w:val="18"/>
        </w:rPr>
        <w:t>技术措施说明：（说明步行和自行车交通系统照明设置情况）</w:t>
      </w:r>
    </w:p>
    <w:p>
      <w:pPr>
        <w:spacing w:line="240" w:lineRule="exact"/>
        <w:rPr>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bookmarkStart w:id="1" w:name="_Hlk201576671"/>
      <w:r>
        <w:rPr>
          <w:rFonts w:hint="eastAsia" w:ascii="宋体" w:hAnsi="宋体"/>
          <w:color w:val="000000" w:themeColor="text1"/>
          <w:sz w:val="18"/>
          <w:szCs w:val="18"/>
          <w14:textFill>
            <w14:solidFill>
              <w14:schemeClr w14:val="tx1"/>
            </w14:solidFill>
          </w14:textFill>
        </w:rPr>
        <w:t>二次设计达标承诺函</w:t>
      </w:r>
      <w:bookmarkEnd w:id="1"/>
    </w:p>
    <w:p>
      <w:pPr>
        <w:spacing w:line="240" w:lineRule="exact"/>
        <w:rPr>
          <w:rFonts w:ascii="宋体" w:hAnsi="宋体" w:cs="宋体"/>
          <w:sz w:val="18"/>
          <w:szCs w:val="18"/>
        </w:rPr>
      </w:pPr>
    </w:p>
    <w:p>
      <w:pPr>
        <w:spacing w:line="240" w:lineRule="exact"/>
        <w:rPr>
          <w:rFonts w:ascii="宋体" w:hAnsi="宋体" w:cs="宋体"/>
          <w:sz w:val="18"/>
          <w:szCs w:val="18"/>
        </w:rPr>
      </w:pPr>
    </w:p>
    <w:p>
      <w:pPr>
        <w:rPr>
          <w:rFonts w:ascii="黑体" w:hAnsi="黑体" w:eastAsia="黑体" w:cs="黑体"/>
          <w:b/>
          <w:bCs/>
          <w:sz w:val="24"/>
          <w:szCs w:val="24"/>
        </w:rPr>
      </w:pPr>
      <w:r>
        <w:rPr>
          <w:rFonts w:hint="eastAsia" w:ascii="黑体" w:hAnsi="黑体" w:eastAsia="黑体" w:cs="黑体"/>
          <w:b/>
          <w:bCs/>
          <w:sz w:val="24"/>
          <w:szCs w:val="24"/>
        </w:rPr>
        <w:t>2、健康舒适（</w:t>
      </w:r>
      <w:r>
        <w:t>实际得分</w:t>
      </w:r>
      <w:r>
        <w:rPr>
          <w:u w:val="single"/>
        </w:rPr>
        <w:t>　　</w:t>
      </w:r>
      <w:r>
        <w:t>分</w:t>
      </w:r>
      <w:r>
        <w:rPr>
          <w:rFonts w:hint="eastAsia" w:ascii="黑体" w:hAnsi="黑体" w:eastAsia="黑体" w:cs="黑体"/>
          <w:b/>
          <w:bCs/>
          <w:sz w:val="24"/>
          <w:szCs w:val="24"/>
        </w:rPr>
        <w:t>）</w:t>
      </w:r>
    </w:p>
    <w:p>
      <w:pPr>
        <w:spacing w:line="240" w:lineRule="exact"/>
        <w:jc w:val="center"/>
        <w:rPr>
          <w:rFonts w:cs="宋体"/>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必须说明内容（控制项）</w:t>
      </w:r>
    </w:p>
    <w:p>
      <w:pPr>
        <w:spacing w:line="240" w:lineRule="exact"/>
        <w:rPr>
          <w:rFonts w:cs="宋体"/>
          <w:b/>
          <w:bCs/>
          <w:sz w:val="18"/>
          <w:szCs w:val="18"/>
        </w:rPr>
      </w:pPr>
    </w:p>
    <w:p>
      <w:pPr>
        <w:spacing w:line="240" w:lineRule="exact"/>
        <w:rPr>
          <w:b/>
          <w:bCs/>
          <w:sz w:val="18"/>
          <w:szCs w:val="18"/>
        </w:rPr>
      </w:pPr>
      <w:r>
        <w:rPr>
          <w:rFonts w:hint="eastAsia"/>
          <w:b/>
          <w:bCs/>
          <w:sz w:val="18"/>
          <w:szCs w:val="18"/>
        </w:rPr>
        <w:t>建筑专业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5.1.1</w:t>
      </w:r>
      <w:r>
        <w:rPr>
          <w:rFonts w:hint="eastAsia" w:ascii="黑体" w:hAnsi="宋体" w:eastAsia="黑体" w:cs="黑体"/>
          <w:sz w:val="18"/>
          <w:szCs w:val="18"/>
        </w:rPr>
        <w:t>室内空气中的氨、甲醛、苯、总挥发性有机物、氡等污染物浓度应符合现行国家标准《室内空气质量标准》GB/T 18883的有关规定。建筑室内和建筑主出入口处应禁止吸烟，并应在醒目位置设置禁烟标志。</w:t>
      </w:r>
    </w:p>
    <w:p>
      <w:pPr>
        <w:spacing w:line="240" w:lineRule="exact"/>
        <w:rPr>
          <w:rFonts w:cs="黑体" w:asciiTheme="minorEastAsia" w:hAnsiTheme="minorEastAsia"/>
          <w:color w:val="000000" w:themeColor="text1"/>
          <w:sz w:val="18"/>
          <w:szCs w:val="18"/>
          <w14:textFill>
            <w14:solidFill>
              <w14:schemeClr w14:val="tx1"/>
            </w14:solidFill>
          </w14:textFill>
        </w:rPr>
      </w:pPr>
      <w:r>
        <w:rPr>
          <w:rFonts w:hint="eastAsia" w:cs="黑体" w:asciiTheme="minorEastAsia" w:hAnsiTheme="minorEastAsia"/>
          <w:sz w:val="18"/>
          <w:szCs w:val="18"/>
        </w:rPr>
        <w:t>技术措施说明：（说明室内空气质量的达标情况；说明室内禁烟标识的设置情况）</w:t>
      </w:r>
    </w:p>
    <w:p>
      <w:pPr>
        <w:spacing w:line="240" w:lineRule="exact"/>
        <w:rPr>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室内污染物浓度预评估分析报告；□设计图纸（专业、图号）；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二次设计达标承诺函（针对禁烟标识）</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5.1.4</w:t>
      </w:r>
      <w:r>
        <w:rPr>
          <w:rFonts w:hint="eastAsia" w:ascii="黑体" w:hAnsi="宋体" w:eastAsia="黑体" w:cs="黑体"/>
          <w:sz w:val="18"/>
          <w:szCs w:val="18"/>
        </w:rPr>
        <w:t>A 建筑声环境设计应符合下列规定：1场地规划布局和建筑平面设计时应合理规划噪声源区域和噪声敏感区域，并应进行识别和标注；外墙、隔墙、楼板和门窗等主要建筑构件的隔声性能指标不应低于现行国家标准《民用建筑隔声设计规范》GB 50118的规定，并应根据隔声性能指标明确主要建筑构件的构造做法。</w:t>
      </w:r>
    </w:p>
    <w:p>
      <w:pPr>
        <w:spacing w:line="240" w:lineRule="exact"/>
        <w:rPr>
          <w:rFonts w:ascii="黑体" w:hAnsi="宋体" w:eastAsia="黑体" w:cs="黑体"/>
          <w:sz w:val="18"/>
          <w:szCs w:val="18"/>
        </w:rPr>
      </w:pPr>
      <w:r>
        <w:rPr>
          <w:rFonts w:hint="eastAsia" w:cs="黑体" w:asciiTheme="minorEastAsia" w:hAnsiTheme="minorEastAsia"/>
          <w:sz w:val="18"/>
          <w:szCs w:val="18"/>
        </w:rPr>
        <w:t>技术措施说明</w:t>
      </w:r>
      <w:r>
        <w:rPr>
          <w:rFonts w:hint="eastAsia" w:ascii="黑体" w:hAnsi="宋体" w:eastAsia="黑体" w:cs="黑体"/>
          <w:sz w:val="18"/>
          <w:szCs w:val="18"/>
        </w:rPr>
        <w:t>：（</w:t>
      </w:r>
      <w:r>
        <w:rPr>
          <w:rFonts w:hint="eastAsia" w:ascii="宋体" w:hAnsi="宋体" w:cs="宋体"/>
          <w:sz w:val="18"/>
          <w:szCs w:val="18"/>
        </w:rPr>
        <w:t>应说明项目周边和内部的噪声源、敏感区的识别及标注情况；应明确主要建筑构件隔声性能指标以及具体构造做法</w:t>
      </w:r>
      <w:r>
        <w:rPr>
          <w:rFonts w:hint="eastAsia" w:ascii="黑体" w:hAnsi="宋体" w:eastAsia="黑体" w:cs="黑体"/>
          <w:sz w:val="18"/>
          <w:szCs w:val="18"/>
        </w:rPr>
        <w:t>）</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 xml:space="preserve">□室外环境噪声模拟分析/检测报告； </w:t>
      </w:r>
      <w:r>
        <w:rPr>
          <w:rFonts w:hint="eastAsia" w:ascii="宋体" w:hAnsi="宋体"/>
          <w:sz w:val="18"/>
          <w:szCs w:val="18"/>
        </w:rPr>
        <w:sym w:font="Wingdings 2" w:char="00A3"/>
      </w:r>
      <w:r>
        <w:rPr>
          <w:rFonts w:hint="eastAsia" w:ascii="宋体" w:hAnsi="宋体"/>
          <w:sz w:val="18"/>
          <w:szCs w:val="18"/>
        </w:rPr>
        <w:t xml:space="preserve">建筑总平图声学分区标注图； </w:t>
      </w:r>
      <w:r>
        <w:rPr>
          <w:rFonts w:hint="eastAsia" w:ascii="宋体" w:hAnsi="宋体"/>
          <w:sz w:val="18"/>
          <w:szCs w:val="18"/>
        </w:rPr>
        <w:sym w:font="Wingdings 2" w:char="00A3"/>
      </w:r>
      <w:r>
        <w:rPr>
          <w:rFonts w:hint="eastAsia" w:ascii="宋体" w:hAnsi="宋体"/>
          <w:sz w:val="18"/>
          <w:szCs w:val="18"/>
        </w:rPr>
        <w:t>建筑标准层平面或其他类似图纸声学分区标注图；□</w:t>
      </w:r>
      <w:r>
        <w:rPr>
          <w:rFonts w:hint="eastAsia" w:ascii="宋体" w:hAnsi="宋体" w:cs="宋体"/>
          <w:sz w:val="18"/>
          <w:szCs w:val="18"/>
        </w:rPr>
        <w:t>建筑主要构件隔声性能分析报告；□设计图纸（专业、图号）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r>
    </w:tbl>
    <w:p>
      <w:pPr>
        <w:spacing w:line="240" w:lineRule="exact"/>
        <w:rPr>
          <w:rFonts w:ascii="黑体" w:hAnsi="宋体" w:eastAsia="黑体" w:cs="黑体"/>
          <w:sz w:val="18"/>
          <w:szCs w:val="18"/>
        </w:rPr>
      </w:pPr>
      <w:r>
        <w:rPr>
          <w:rFonts w:hint="eastAsia" w:ascii="黑体" w:hAnsi="宋体" w:eastAsia="黑体" w:cs="黑体"/>
          <w:sz w:val="18"/>
          <w:szCs w:val="18"/>
        </w:rPr>
        <w:t>5</w:t>
      </w:r>
      <w:r>
        <w:rPr>
          <w:rFonts w:ascii="黑体" w:hAnsi="宋体" w:eastAsia="黑体" w:cs="黑体"/>
          <w:sz w:val="18"/>
          <w:szCs w:val="18"/>
        </w:rPr>
        <w:t xml:space="preserve">.1.7 </w:t>
      </w:r>
      <w:r>
        <w:rPr>
          <w:rFonts w:hint="eastAsia" w:ascii="黑体" w:hAnsi="宋体" w:eastAsia="黑体" w:cs="黑体"/>
          <w:sz w:val="18"/>
          <w:szCs w:val="18"/>
        </w:rPr>
        <w:t>围护结构热工性能应符合下列规定：1在室内设计温度、湿度条件下，建筑非透光围护结构内表面不得结露；2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pPr>
        <w:spacing w:line="240" w:lineRule="exact"/>
        <w:rPr>
          <w:rFonts w:cs="黑体" w:asciiTheme="minorEastAsia" w:hAnsiTheme="minorEastAsia"/>
          <w:sz w:val="18"/>
          <w:szCs w:val="18"/>
        </w:rPr>
      </w:pPr>
      <w:r>
        <w:rPr>
          <w:rFonts w:hint="eastAsia" w:cs="黑体" w:asciiTheme="minorEastAsia" w:hAnsiTheme="minorEastAsia"/>
          <w:sz w:val="18"/>
          <w:szCs w:val="18"/>
        </w:rPr>
        <w:t>技术措施说明：（夏热冬暖地区第1、2款直接达标；第3款说明屋顶和外墙隔热的设计情况，同时对透光围护结构SHGC与夏季建筑SC的乘积列表验算）</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□节能计算书</w:t>
      </w:r>
      <w:r>
        <w:rPr>
          <w:rFonts w:hint="eastAsia" w:ascii="宋体" w:hAnsi="宋体" w:cs="宋体"/>
          <w:sz w:val="18"/>
          <w:szCs w:val="18"/>
        </w:rPr>
        <w:t>；□</w:t>
      </w:r>
      <w:r>
        <w:rPr>
          <w:rFonts w:hint="eastAsia" w:ascii="宋体" w:hAnsi="宋体"/>
          <w:sz w:val="18"/>
          <w:szCs w:val="18"/>
        </w:rPr>
        <w:t>隔热验算计算书</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给排水专业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5.1.3</w:t>
      </w:r>
      <w:r>
        <w:rPr>
          <w:rFonts w:hint="eastAsia" w:ascii="黑体" w:hAnsi="宋体" w:eastAsia="黑体" w:cs="黑体"/>
          <w:sz w:val="18"/>
          <w:szCs w:val="18"/>
        </w:rPr>
        <w:t>给水排水系统的设置应符合下列规定：1 生活饮用水水质应满足现行国家标准《生活饮用水卫生标准》GB 5749的要求；2 应制定水池、水箱等储水设施定期清洗消毒计划并实施，且生活饮用水储水设施每半年清洗消毒不应少于1次；3 应使用构造内自带水封的便器，且其水封深度不应小于50mm；4 非传统水源管道和设备应设置明确、清晰的永久性标识。</w:t>
      </w:r>
    </w:p>
    <w:p>
      <w:pPr>
        <w:spacing w:line="240" w:lineRule="exact"/>
        <w:rPr>
          <w:rFonts w:cs="黑体" w:asciiTheme="minorEastAsia" w:hAnsiTheme="minorEastAsia"/>
          <w:sz w:val="18"/>
          <w:szCs w:val="18"/>
        </w:rPr>
      </w:pPr>
      <w:r>
        <w:rPr>
          <w:rFonts w:hint="eastAsia" w:cs="黑体" w:asciiTheme="minorEastAsia" w:hAnsiTheme="minorEastAsia"/>
          <w:sz w:val="18"/>
          <w:szCs w:val="18"/>
        </w:rPr>
        <w:t>技术措施说明：（对水池、水箱等储水设施定期清洗消毒计划、水封进行说明；非传统水源管道和设备永久</w:t>
      </w:r>
      <w:r>
        <w:rPr>
          <w:rFonts w:hint="eastAsia" w:ascii="黑体" w:hAnsi="宋体" w:eastAsia="黑体" w:cs="黑体"/>
          <w:sz w:val="18"/>
          <w:szCs w:val="18"/>
        </w:rPr>
        <w:t>性</w:t>
      </w:r>
      <w:r>
        <w:rPr>
          <w:rFonts w:hint="eastAsia" w:cs="黑体" w:asciiTheme="minorEastAsia" w:hAnsiTheme="minorEastAsia"/>
          <w:sz w:val="18"/>
          <w:szCs w:val="18"/>
        </w:rPr>
        <w:t>标识的设置情况）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r>
        <w:rPr>
          <w:rFonts w:hint="eastAsia"/>
          <w:b/>
          <w:bCs/>
          <w:sz w:val="18"/>
          <w:szCs w:val="18"/>
        </w:rPr>
        <w:t>暖通专业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5.1.2</w:t>
      </w:r>
      <w:r>
        <w:rPr>
          <w:rFonts w:hint="eastAsia" w:ascii="黑体" w:hAnsi="宋体" w:eastAsia="黑体" w:cs="黑体"/>
          <w:sz w:val="18"/>
          <w:szCs w:val="18"/>
        </w:rPr>
        <w:t>应采取措施避免厨房、餐厅、打印复印室、卫生间、地下车库等区域的空气和污染物串通到其他空间；应防止厨房、卫生间的排气倒灌。</w:t>
      </w:r>
    </w:p>
    <w:p>
      <w:pPr>
        <w:spacing w:line="240" w:lineRule="exact"/>
        <w:rPr>
          <w:rFonts w:cs="黑体" w:asciiTheme="minorEastAsia" w:hAnsiTheme="minorEastAsia"/>
          <w:sz w:val="18"/>
          <w:szCs w:val="18"/>
        </w:rPr>
      </w:pPr>
      <w:r>
        <w:rPr>
          <w:rFonts w:hint="eastAsia" w:cs="黑体" w:asciiTheme="minorEastAsia" w:hAnsiTheme="minorEastAsia"/>
          <w:sz w:val="18"/>
          <w:szCs w:val="18"/>
        </w:rPr>
        <w:t>技术措施说明：（说明避免空气和污染物串通的措施；说明防止厨房、卫生间等区域排气倒灌的措施）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5.1.6</w:t>
      </w:r>
      <w:r>
        <w:rPr>
          <w:rFonts w:hint="eastAsia" w:ascii="黑体" w:hAnsi="宋体" w:eastAsia="黑体" w:cs="黑体"/>
          <w:sz w:val="18"/>
          <w:szCs w:val="18"/>
        </w:rPr>
        <w:t>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环境的措施或预留条件。</w:t>
      </w:r>
    </w:p>
    <w:p>
      <w:pPr>
        <w:spacing w:line="240" w:lineRule="exact"/>
        <w:rPr>
          <w:rFonts w:ascii="黑体" w:hAnsi="宋体" w:eastAsia="黑体" w:cs="黑体"/>
          <w:sz w:val="18"/>
          <w:szCs w:val="18"/>
        </w:rPr>
      </w:pPr>
      <w:r>
        <w:rPr>
          <w:rFonts w:hint="eastAsia" w:cs="黑体" w:asciiTheme="minorEastAsia" w:hAnsiTheme="minorEastAsia"/>
          <w:sz w:val="18"/>
          <w:szCs w:val="18"/>
        </w:rPr>
        <w:t>技术措施说明：</w:t>
      </w:r>
      <w:r>
        <w:rPr>
          <w:rFonts w:hint="eastAsia" w:ascii="黑体" w:hAnsi="宋体" w:eastAsia="黑体" w:cs="黑体"/>
          <w:sz w:val="18"/>
          <w:szCs w:val="18"/>
        </w:rPr>
        <w:t>（</w:t>
      </w:r>
      <w:r>
        <w:rPr>
          <w:rFonts w:hint="eastAsia" w:ascii="宋体" w:hAnsi="宋体" w:cs="宋体"/>
          <w:sz w:val="18"/>
          <w:szCs w:val="18"/>
        </w:rPr>
        <w:t>对于采用集中供暖空调系统的建筑，须说明温度、湿度、新风量等设计参数；对于非集中供暖空调系统的建筑，应说明保障室内热环境的措施或预留条件</w:t>
      </w:r>
      <w:r>
        <w:rPr>
          <w:rFonts w:hint="eastAsia" w:ascii="黑体" w:hAnsi="宋体" w:eastAsia="黑体" w:cs="黑体"/>
          <w:sz w:val="18"/>
          <w:szCs w:val="18"/>
        </w:rPr>
        <w:t>）</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5.1.8</w:t>
      </w:r>
      <w:r>
        <w:rPr>
          <w:rFonts w:hint="eastAsia" w:ascii="黑体" w:hAnsi="宋体" w:eastAsia="黑体" w:cs="黑体"/>
          <w:sz w:val="18"/>
          <w:szCs w:val="18"/>
        </w:rPr>
        <w:t>主要功能房间应具有现场独立控制的热环境调节装置。</w:t>
      </w:r>
    </w:p>
    <w:p>
      <w:pPr>
        <w:spacing w:line="240" w:lineRule="exact"/>
        <w:rPr>
          <w:rFonts w:ascii="黑体" w:hAnsi="宋体" w:eastAsia="黑体" w:cs="黑体"/>
          <w:sz w:val="18"/>
          <w:szCs w:val="18"/>
        </w:rPr>
      </w:pPr>
      <w:r>
        <w:rPr>
          <w:rFonts w:hint="eastAsia" w:cs="黑体" w:asciiTheme="minorEastAsia" w:hAnsiTheme="minorEastAsia"/>
          <w:sz w:val="18"/>
          <w:szCs w:val="18"/>
        </w:rPr>
        <w:t>技术措施说明：</w:t>
      </w:r>
      <w:r>
        <w:rPr>
          <w:rFonts w:hint="eastAsia" w:ascii="黑体" w:hAnsi="宋体" w:eastAsia="黑体" w:cs="黑体"/>
          <w:sz w:val="18"/>
          <w:szCs w:val="18"/>
        </w:rPr>
        <w:t>（</w:t>
      </w:r>
      <w:r>
        <w:rPr>
          <w:rFonts w:hint="eastAsia" w:ascii="宋体" w:hAnsi="宋体" w:cs="宋体"/>
          <w:sz w:val="18"/>
          <w:szCs w:val="18"/>
        </w:rPr>
        <w:t>对于采用集中供暖空调系统的建筑，应说明独立热环境调节装置的设置情况</w:t>
      </w:r>
      <w:r>
        <w:rPr>
          <w:rFonts w:hint="eastAsia" w:ascii="黑体" w:hAnsi="宋体" w:eastAsia="黑体" w:cs="黑体"/>
          <w:sz w:val="18"/>
          <w:szCs w:val="18"/>
        </w:rPr>
        <w:t>）</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5.1.9</w:t>
      </w:r>
      <w:r>
        <w:rPr>
          <w:rFonts w:hint="eastAsia" w:ascii="黑体" w:hAnsi="宋体" w:eastAsia="黑体" w:cs="黑体"/>
          <w:sz w:val="18"/>
          <w:szCs w:val="18"/>
        </w:rPr>
        <w:t>地下车库应设置与排风设备联动的一氧化碳浓度监测装置。</w:t>
      </w:r>
    </w:p>
    <w:p>
      <w:pPr>
        <w:spacing w:line="240" w:lineRule="exact"/>
        <w:rPr>
          <w:rFonts w:ascii="黑体" w:hAnsi="宋体" w:eastAsia="黑体" w:cs="黑体"/>
          <w:sz w:val="18"/>
          <w:szCs w:val="18"/>
        </w:rPr>
      </w:pPr>
      <w:r>
        <w:rPr>
          <w:rFonts w:hint="eastAsia" w:cs="黑体" w:asciiTheme="minorEastAsia" w:hAnsiTheme="minorEastAsia"/>
          <w:sz w:val="18"/>
          <w:szCs w:val="18"/>
        </w:rPr>
        <w:t>技术措施说明：</w:t>
      </w:r>
      <w:r>
        <w:rPr>
          <w:rFonts w:hint="eastAsia" w:ascii="黑体" w:hAnsi="宋体" w:eastAsia="黑体" w:cs="黑体"/>
          <w:sz w:val="18"/>
          <w:szCs w:val="18"/>
        </w:rPr>
        <w:t>（</w:t>
      </w:r>
      <w:r>
        <w:rPr>
          <w:rFonts w:hint="eastAsia" w:ascii="宋体" w:hAnsi="宋体" w:cs="宋体"/>
          <w:sz w:val="18"/>
          <w:szCs w:val="18"/>
        </w:rPr>
        <w:t>说明地下车库一氧化碳监控系统的功能以及控制策略</w:t>
      </w:r>
      <w:r>
        <w:rPr>
          <w:rFonts w:hint="eastAsia" w:ascii="黑体" w:hAnsi="宋体" w:eastAsia="黑体" w:cs="黑体"/>
          <w:sz w:val="18"/>
          <w:szCs w:val="18"/>
        </w:rPr>
        <w:t>）</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r>
        <w:rPr>
          <w:rFonts w:hint="eastAsia"/>
          <w:b/>
          <w:bCs/>
          <w:sz w:val="18"/>
          <w:szCs w:val="18"/>
        </w:rPr>
        <w:t>电气专业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5.1.5</w:t>
      </w:r>
      <w:r>
        <w:rPr>
          <w:rFonts w:hint="eastAsia" w:ascii="黑体" w:hAnsi="宋体" w:eastAsia="黑体" w:cs="黑体"/>
          <w:sz w:val="18"/>
          <w:szCs w:val="18"/>
        </w:rPr>
        <w:t>建筑照明应符合下列规定：1各场所的照度、照度均匀度、显色指数、统一眩光值应符合现行国家标准《建筑照明设计标准》GB/T 50034的规定；2人员长期停留的房间或场所采用的照明光源和灯具，其频闪效应可视度(SVM)不应大于1.3。</w:t>
      </w:r>
    </w:p>
    <w:p>
      <w:pPr>
        <w:spacing w:line="240" w:lineRule="exact"/>
        <w:rPr>
          <w:rFonts w:ascii="黑体" w:hAnsi="宋体" w:eastAsia="黑体" w:cs="黑体"/>
          <w:sz w:val="18"/>
          <w:szCs w:val="18"/>
        </w:rPr>
      </w:pPr>
      <w:r>
        <w:rPr>
          <w:rFonts w:hint="eastAsia" w:cs="黑体" w:asciiTheme="minorEastAsia" w:hAnsiTheme="minorEastAsia"/>
          <w:sz w:val="18"/>
          <w:szCs w:val="18"/>
        </w:rPr>
        <w:t>技术措施说明：</w:t>
      </w:r>
      <w:r>
        <w:rPr>
          <w:rFonts w:hint="eastAsia" w:ascii="黑体" w:hAnsi="宋体" w:eastAsia="黑体" w:cs="黑体"/>
          <w:sz w:val="18"/>
          <w:szCs w:val="18"/>
        </w:rPr>
        <w:t>（</w:t>
      </w:r>
      <w:r>
        <w:rPr>
          <w:rFonts w:hint="eastAsia" w:ascii="宋体" w:hAnsi="宋体" w:cs="宋体"/>
          <w:sz w:val="18"/>
          <w:szCs w:val="18"/>
        </w:rPr>
        <w:t>应说明包括照度、眩光值、一般显示指数等室内照明的数量和质量；说明人员长期停留的房间或场所采用的照明光源和灯具的频闪效应可视度（SVM）</w:t>
      </w:r>
      <w:r>
        <w:rPr>
          <w:rFonts w:hint="eastAsia" w:ascii="黑体" w:hAnsi="宋体" w:eastAsia="黑体" w:cs="黑体"/>
          <w:sz w:val="18"/>
          <w:szCs w:val="18"/>
        </w:rPr>
        <w:t>）</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□照明</w:t>
      </w:r>
      <w:r>
        <w:rPr>
          <w:rFonts w:hint="eastAsia" w:ascii="宋体" w:hAnsi="宋体" w:cs="宋体"/>
          <w:sz w:val="18"/>
          <w:szCs w:val="18"/>
        </w:rPr>
        <w:t>计算书；□设计图纸（专业、图号）</w:t>
      </w:r>
    </w:p>
    <w:p>
      <w:pPr>
        <w:spacing w:line="240" w:lineRule="exact"/>
        <w:rPr>
          <w:rFonts w:ascii="宋体" w:hAnsi="宋体" w:cs="宋体"/>
          <w:sz w:val="18"/>
          <w:szCs w:val="18"/>
        </w:rPr>
      </w:pPr>
    </w:p>
    <w:p>
      <w:pPr>
        <w:spacing w:line="240" w:lineRule="exact"/>
        <w:rPr>
          <w:rFonts w:ascii="宋体" w:hAnsi="宋体" w:cs="宋体"/>
          <w:sz w:val="18"/>
          <w:szCs w:val="18"/>
        </w:rPr>
      </w:pPr>
      <w:r>
        <w:rPr>
          <w:rFonts w:hint="eastAsia" w:cs="宋体"/>
          <w:b/>
          <w:bCs/>
          <w:sz w:val="18"/>
          <w:szCs w:val="18"/>
        </w:rPr>
        <w:t>全专业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r>
    </w:tbl>
    <w:p>
      <w:pPr>
        <w:spacing w:line="240" w:lineRule="exact"/>
        <w:rPr>
          <w:rFonts w:ascii="黑体" w:eastAsia="黑体"/>
          <w:sz w:val="18"/>
          <w:szCs w:val="18"/>
        </w:rPr>
      </w:pPr>
      <w:r>
        <w:rPr>
          <w:rFonts w:hint="eastAsia" w:ascii="黑体" w:eastAsia="黑体" w:cs="黑体"/>
          <w:sz w:val="18"/>
          <w:szCs w:val="18"/>
        </w:rPr>
        <w:t>5.1.10 健康舒适相关技术要求应符合现行强制性工程建设规范的规定。</w:t>
      </w:r>
    </w:p>
    <w:p>
      <w:pPr>
        <w:spacing w:line="240" w:lineRule="exact"/>
        <w:rPr>
          <w:rFonts w:ascii="黑体" w:eastAsia="黑体"/>
          <w:sz w:val="18"/>
          <w:szCs w:val="18"/>
        </w:rPr>
      </w:pPr>
      <w:r>
        <w:rPr>
          <w:rFonts w:hint="eastAsia" w:ascii="宋体" w:hAnsi="宋体" w:cs="宋体"/>
          <w:sz w:val="18"/>
          <w:szCs w:val="18"/>
        </w:rPr>
        <w:t>技术措施说明：（说明本专业适用的强制性工程建设规范的技术要求及设计情况）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自选说明内容（评分项）</w:t>
      </w:r>
    </w:p>
    <w:p>
      <w:pPr>
        <w:spacing w:line="240" w:lineRule="exact"/>
        <w:jc w:val="center"/>
        <w:rPr>
          <w:b/>
          <w:bCs/>
          <w:sz w:val="18"/>
          <w:szCs w:val="18"/>
        </w:rPr>
      </w:pPr>
    </w:p>
    <w:tbl>
      <w:tblPr>
        <w:tblStyle w:val="9"/>
        <w:tblW w:w="59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602"/>
        <w:gridCol w:w="602"/>
        <w:gridCol w:w="602"/>
        <w:gridCol w:w="602"/>
        <w:gridCol w:w="602"/>
        <w:gridCol w:w="602"/>
        <w:gridCol w:w="602"/>
        <w:gridCol w:w="602"/>
        <w:gridCol w:w="602"/>
        <w:gridCol w:w="698"/>
        <w:gridCol w:w="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472" w:type="pct"/>
            <w:vAlign w:val="center"/>
          </w:tcPr>
          <w:p>
            <w:pPr>
              <w:adjustRightInd w:val="0"/>
              <w:snapToGrid w:val="0"/>
              <w:spacing w:line="240" w:lineRule="exact"/>
              <w:rPr>
                <w:rFonts w:ascii="Calibri" w:hAnsi="Calibri" w:eastAsia="宋体" w:cs="Calibri"/>
                <w:sz w:val="18"/>
                <w:szCs w:val="18"/>
              </w:rPr>
            </w:pPr>
            <w:r>
              <w:rPr>
                <w:rFonts w:hint="eastAsia" w:ascii="Calibri" w:hAnsi="Calibri" w:eastAsia="宋体" w:cs="Calibri"/>
                <w:sz w:val="18"/>
                <w:szCs w:val="18"/>
              </w:rPr>
              <w:t>条文</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.2.1</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.2.2</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.2.3</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.2.4</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.2.5</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.2.6</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.2.7</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.2.8</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.2.9</w:t>
            </w:r>
          </w:p>
        </w:tc>
        <w:tc>
          <w:tcPr>
            <w:tcW w:w="463"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.2.10</w:t>
            </w:r>
          </w:p>
        </w:tc>
        <w:tc>
          <w:tcPr>
            <w:tcW w:w="463"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5</w:t>
            </w:r>
            <w:r>
              <w:rPr>
                <w:rFonts w:ascii="Calibri" w:hAnsi="Calibri" w:eastAsia="宋体" w:cs="Calibri"/>
                <w:sz w:val="18"/>
                <w:szCs w:val="18"/>
              </w:rPr>
              <w:t>.2.11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472" w:type="pct"/>
            <w:vAlign w:val="center"/>
          </w:tcPr>
          <w:p>
            <w:pPr>
              <w:adjustRightInd w:val="0"/>
              <w:snapToGrid w:val="0"/>
              <w:spacing w:line="240" w:lineRule="exact"/>
              <w:rPr>
                <w:rFonts w:ascii="Calibri" w:hAnsi="Calibri" w:eastAsia="宋体" w:cs="Calibri"/>
                <w:sz w:val="18"/>
                <w:szCs w:val="18"/>
              </w:rPr>
            </w:pPr>
            <w:r>
              <w:rPr>
                <w:rFonts w:hint="eastAsia" w:ascii="Calibri" w:hAnsi="Calibri" w:eastAsia="宋体" w:cs="Calibri"/>
                <w:sz w:val="18"/>
                <w:szCs w:val="18"/>
              </w:rPr>
              <w:t>总分</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9</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c>
          <w:tcPr>
            <w:tcW w:w="400"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63"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463" w:type="pct"/>
            <w:vAlign w:val="center"/>
          </w:tcPr>
          <w:p>
            <w:pPr>
              <w:adjustRightInd w:val="0"/>
              <w:snapToGrid w:val="0"/>
              <w:spacing w:line="240" w:lineRule="exact"/>
              <w:jc w:val="center"/>
              <w:rPr>
                <w:rFonts w:ascii="Calibri" w:hAnsi="Calibri" w:eastAsia="宋体" w:cs="Calibri"/>
                <w:sz w:val="18"/>
                <w:szCs w:val="18"/>
              </w:rPr>
            </w:pPr>
            <w:r>
              <w:rPr>
                <w:rFonts w:hint="eastAsia" w:ascii="Calibri" w:hAnsi="Calibri" w:eastAsia="宋体" w:cs="Calibri"/>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472" w:type="pct"/>
            <w:vAlign w:val="center"/>
          </w:tcPr>
          <w:p>
            <w:pPr>
              <w:adjustRightInd w:val="0"/>
              <w:snapToGrid w:val="0"/>
              <w:spacing w:line="240" w:lineRule="exact"/>
              <w:rPr>
                <w:rFonts w:ascii="Calibri" w:hAnsi="Calibri" w:eastAsia="宋体" w:cs="Calibri"/>
                <w:sz w:val="18"/>
                <w:szCs w:val="18"/>
              </w:rPr>
            </w:pPr>
            <w:r>
              <w:rPr>
                <w:rFonts w:hint="eastAsia" w:ascii="Calibri" w:hAnsi="Calibri" w:eastAsia="宋体" w:cs="Calibri"/>
                <w:sz w:val="18"/>
                <w:szCs w:val="18"/>
              </w:rPr>
              <w:t>得分</w:t>
            </w: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00" w:type="pct"/>
            <w:vAlign w:val="center"/>
          </w:tcPr>
          <w:p>
            <w:pPr>
              <w:adjustRightInd w:val="0"/>
              <w:snapToGrid w:val="0"/>
              <w:spacing w:line="240" w:lineRule="exact"/>
              <w:jc w:val="center"/>
              <w:rPr>
                <w:rFonts w:ascii="Calibri" w:hAnsi="Calibri" w:eastAsia="宋体" w:cs="Calibri"/>
                <w:sz w:val="18"/>
                <w:szCs w:val="18"/>
              </w:rPr>
            </w:pPr>
          </w:p>
        </w:tc>
        <w:tc>
          <w:tcPr>
            <w:tcW w:w="463" w:type="pct"/>
            <w:vAlign w:val="center"/>
          </w:tcPr>
          <w:p>
            <w:pPr>
              <w:adjustRightInd w:val="0"/>
              <w:snapToGrid w:val="0"/>
              <w:spacing w:line="240" w:lineRule="exact"/>
              <w:jc w:val="center"/>
              <w:rPr>
                <w:rFonts w:ascii="Calibri" w:hAnsi="Calibri" w:eastAsia="宋体" w:cs="Calibri"/>
                <w:sz w:val="18"/>
                <w:szCs w:val="18"/>
              </w:rPr>
            </w:pPr>
          </w:p>
        </w:tc>
        <w:tc>
          <w:tcPr>
            <w:tcW w:w="463" w:type="pct"/>
            <w:vAlign w:val="center"/>
          </w:tcPr>
          <w:p>
            <w:pPr>
              <w:adjustRightInd w:val="0"/>
              <w:snapToGrid w:val="0"/>
              <w:spacing w:line="240" w:lineRule="exact"/>
              <w:jc w:val="center"/>
              <w:rPr>
                <w:rFonts w:ascii="Calibri" w:hAnsi="Calibri" w:eastAsia="宋体" w:cs="Calibri"/>
                <w:sz w:val="18"/>
                <w:szCs w:val="18"/>
              </w:rPr>
            </w:pPr>
          </w:p>
        </w:tc>
      </w:tr>
    </w:tbl>
    <w:p>
      <w:pPr>
        <w:spacing w:line="240" w:lineRule="exact"/>
        <w:jc w:val="center"/>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ascii="黑体" w:hAnsi="宋体" w:eastAsia="黑体"/>
          <w:sz w:val="18"/>
          <w:szCs w:val="18"/>
        </w:rPr>
      </w:pPr>
      <w:r>
        <w:rPr>
          <w:rFonts w:ascii="黑体" w:hAnsi="宋体" w:eastAsia="黑体" w:cs="黑体"/>
          <w:sz w:val="18"/>
          <w:szCs w:val="18"/>
        </w:rPr>
        <w:t>5.2.1</w:t>
      </w:r>
      <w:r>
        <w:rPr>
          <w:rFonts w:hint="eastAsia" w:ascii="黑体" w:hAnsi="宋体" w:eastAsia="黑体" w:cs="黑体"/>
          <w:sz w:val="18"/>
          <w:szCs w:val="18"/>
        </w:rPr>
        <w:t>控制室内主要空气污染物的浓度。</w:t>
      </w:r>
    </w:p>
    <w:p>
      <w:pPr>
        <w:spacing w:line="240" w:lineRule="exact"/>
        <w:rPr>
          <w:rFonts w:ascii="宋体"/>
          <w:sz w:val="18"/>
          <w:szCs w:val="18"/>
        </w:rPr>
      </w:pPr>
      <w:r>
        <w:rPr>
          <w:rFonts w:hint="eastAsia" w:ascii="宋体" w:hAnsi="宋体" w:cs="宋体"/>
          <w:sz w:val="18"/>
          <w:szCs w:val="18"/>
        </w:rPr>
        <w:t>技术措施说明：（说明室内污染物浓度预评估的分析结果）</w:t>
      </w:r>
    </w:p>
    <w:p>
      <w:pPr>
        <w:spacing w:line="240" w:lineRule="exact"/>
        <w:rPr>
          <w:rFonts w:ascii="黑体" w:hAnsi="宋体"/>
          <w:sz w:val="18"/>
          <w:szCs w:val="18"/>
        </w:rPr>
      </w:pPr>
      <w:r>
        <w:rPr>
          <w:rFonts w:hint="eastAsia" w:ascii="宋体" w:hAnsi="宋体" w:cs="宋体"/>
          <w:sz w:val="18"/>
          <w:szCs w:val="18"/>
        </w:rPr>
        <w:t>证明材料：</w:t>
      </w:r>
      <w:r>
        <w:rPr>
          <w:rFonts w:hint="eastAsia" w:ascii="宋体" w:hAnsi="宋体"/>
          <w:sz w:val="18"/>
          <w:szCs w:val="18"/>
        </w:rPr>
        <w:t>□室内</w:t>
      </w:r>
      <w:r>
        <w:rPr>
          <w:rFonts w:hint="eastAsia" w:ascii="宋体" w:hAnsi="宋体" w:cs="宋体"/>
          <w:sz w:val="18"/>
          <w:szCs w:val="18"/>
        </w:rPr>
        <w:t>污染物浓度预评估分析报告；</w:t>
      </w:r>
      <w:r>
        <w:rPr>
          <w:rFonts w:hint="eastAsia" w:ascii="宋体" w:hAnsi="宋体"/>
          <w:sz w:val="18"/>
          <w:szCs w:val="18"/>
        </w:rPr>
        <w:t>□</w:t>
      </w:r>
      <w:r>
        <w:rPr>
          <w:rFonts w:hint="eastAsia" w:ascii="宋体" w:hAnsi="宋体" w:cs="宋体"/>
          <w:sz w:val="18"/>
          <w:szCs w:val="18"/>
        </w:rPr>
        <w:t xml:space="preserve">设计图纸（专业、图号）； </w:t>
      </w:r>
    </w:p>
    <w:p>
      <w:pPr>
        <w:spacing w:line="240" w:lineRule="exact"/>
        <w:rPr>
          <w:rFonts w:ascii="黑体" w:hAnsi="宋体" w:eastAsia="黑体"/>
          <w:sz w:val="18"/>
          <w:szCs w:val="18"/>
        </w:rPr>
      </w:pPr>
      <w:r>
        <w:rPr>
          <w:rFonts w:ascii="黑体" w:hAnsi="宋体" w:eastAsia="黑体" w:cs="黑体"/>
          <w:sz w:val="18"/>
          <w:szCs w:val="18"/>
        </w:rPr>
        <w:t>5.2.2</w:t>
      </w:r>
      <w:r>
        <w:rPr>
          <w:rFonts w:hint="eastAsia" w:ascii="黑体" w:hAnsi="宋体" w:eastAsia="黑体" w:cs="黑体"/>
          <w:sz w:val="18"/>
          <w:szCs w:val="18"/>
        </w:rPr>
        <w:t>选用的装饰装修材料满足国家现行绿色产品评价标准中对有害物质限量的要求。</w:t>
      </w:r>
    </w:p>
    <w:p>
      <w:pPr>
        <w:spacing w:line="240" w:lineRule="exact"/>
        <w:rPr>
          <w:rFonts w:ascii="宋体"/>
          <w:sz w:val="18"/>
          <w:szCs w:val="18"/>
        </w:rPr>
      </w:pPr>
      <w:r>
        <w:rPr>
          <w:rFonts w:hint="eastAsia" w:ascii="宋体" w:hAnsi="宋体" w:cs="宋体"/>
          <w:sz w:val="18"/>
          <w:szCs w:val="18"/>
        </w:rPr>
        <w:t>技术措施说明：（说明装饰装修材料绿色产品的材料类型及材料有害物质达标情况）</w:t>
      </w:r>
    </w:p>
    <w:p>
      <w:pPr>
        <w:spacing w:line="240" w:lineRule="exact"/>
        <w:rPr>
          <w:rFonts w:ascii="黑体" w:hAns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cs="宋体"/>
          <w:color w:val="000000" w:themeColor="text1"/>
          <w:sz w:val="18"/>
          <w:szCs w:val="18"/>
          <w14:textFill>
            <w14:solidFill>
              <w14:schemeClr w14:val="tx1"/>
            </w14:solidFill>
          </w14:textFill>
        </w:rPr>
        <w:t>；</w:t>
      </w:r>
      <w:r>
        <w:rPr>
          <w:rFonts w:hint="eastAsia" w:ascii="宋体" w:hAnsi="宋体"/>
          <w:sz w:val="18"/>
          <w:szCs w:val="18"/>
        </w:rPr>
        <w:t>□</w:t>
      </w:r>
      <w:bookmarkStart w:id="2" w:name="_Hlk201576443"/>
      <w:r>
        <w:rPr>
          <w:rFonts w:hint="eastAsia" w:ascii="宋体" w:hAnsi="宋体"/>
          <w:color w:val="000000" w:themeColor="text1"/>
          <w:sz w:val="18"/>
          <w:szCs w:val="18"/>
          <w14:textFill>
            <w14:solidFill>
              <w14:schemeClr w14:val="tx1"/>
            </w14:solidFill>
          </w14:textFill>
        </w:rPr>
        <w:t>二次设计达标承诺函</w:t>
      </w:r>
      <w:bookmarkEnd w:id="2"/>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6采取措施优化主要功能房间的室内声环境。</w:t>
      </w:r>
    </w:p>
    <w:p>
      <w:pPr>
        <w:spacing w:line="240" w:lineRule="exact"/>
        <w:rPr>
          <w:rFonts w:ascii="宋体"/>
          <w:sz w:val="18"/>
          <w:szCs w:val="18"/>
        </w:rPr>
      </w:pPr>
      <w:r>
        <w:rPr>
          <w:rFonts w:hint="eastAsia" w:ascii="宋体" w:hAnsi="宋体" w:cs="宋体"/>
          <w:sz w:val="18"/>
          <w:szCs w:val="18"/>
        </w:rPr>
        <w:t>技术措施说明：（说明建筑室内、外主要噪声源类型，传播途径以及采取降噪措施后的室内声环境）</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cs="宋体"/>
          <w:sz w:val="18"/>
          <w:szCs w:val="18"/>
        </w:rPr>
        <w:t>室内背景噪声计算报告；□</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7主要功能房间的隔声性能良好。</w:t>
      </w:r>
    </w:p>
    <w:p>
      <w:pPr>
        <w:spacing w:line="240" w:lineRule="exact"/>
        <w:rPr>
          <w:rFonts w:ascii="宋体"/>
          <w:sz w:val="18"/>
          <w:szCs w:val="18"/>
        </w:rPr>
      </w:pPr>
      <w:r>
        <w:rPr>
          <w:rFonts w:hint="eastAsia" w:ascii="宋体" w:hAnsi="宋体" w:cs="宋体"/>
          <w:sz w:val="18"/>
          <w:szCs w:val="18"/>
        </w:rPr>
        <w:t>技术措施说明：（说明建筑围护结构的构造做法和隔声效果）</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围护结构隔声量计算</w:t>
      </w:r>
      <w:r>
        <w:rPr>
          <w:rFonts w:hint="eastAsia" w:cs="宋体"/>
          <w:sz w:val="18"/>
          <w:szCs w:val="18"/>
        </w:rPr>
        <w:t>报告</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8充分利用天然光。</w:t>
      </w:r>
    </w:p>
    <w:p>
      <w:pPr>
        <w:spacing w:line="240" w:lineRule="exact"/>
        <w:rPr>
          <w:rFonts w:ascii="宋体"/>
          <w:sz w:val="18"/>
          <w:szCs w:val="18"/>
        </w:rPr>
      </w:pPr>
      <w:r>
        <w:rPr>
          <w:rFonts w:hint="eastAsia" w:ascii="宋体" w:hAnsi="宋体" w:cs="宋体"/>
          <w:sz w:val="18"/>
          <w:szCs w:val="18"/>
        </w:rPr>
        <w:t>技术措施说明：（说明外窗/幕墙玻璃的可见光透射比，功能房间的平面布局，模拟计算室内采光达标的面积比例情况；明确内区采光计算情况；明确地下空间优化采光的技术措施及效果）</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□室内</w:t>
      </w:r>
      <w:r>
        <w:rPr>
          <w:rFonts w:hint="eastAsia" w:ascii="宋体" w:hAnsi="宋体" w:cs="宋体"/>
          <w:sz w:val="18"/>
          <w:szCs w:val="18"/>
        </w:rPr>
        <w:t>动态采光模拟分析报告；□内区采光计算书；□地下空间采光系数计算书；□设计图纸（专业、图号）</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10优化建筑空间和平面布局，改善自然通风效果。</w:t>
      </w:r>
    </w:p>
    <w:p>
      <w:pPr>
        <w:spacing w:line="240" w:lineRule="exact"/>
        <w:rPr>
          <w:rFonts w:ascii="宋体"/>
          <w:sz w:val="18"/>
          <w:szCs w:val="18"/>
        </w:rPr>
      </w:pPr>
      <w:r>
        <w:rPr>
          <w:rFonts w:hint="eastAsia" w:ascii="宋体" w:hAnsi="宋体" w:cs="宋体"/>
          <w:sz w:val="18"/>
          <w:szCs w:val="18"/>
        </w:rPr>
        <w:t>技术措施说明：（居住建筑说明主要房间通风开口面积与房间地板面积的比例，公共建筑说明过渡季典型工况下主要功能房间的平均自然通风换气次数）</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□居住</w:t>
      </w:r>
      <w:r>
        <w:rPr>
          <w:rFonts w:hint="eastAsia" w:ascii="宋体" w:hAnsi="宋体" w:cs="宋体"/>
          <w:sz w:val="18"/>
          <w:szCs w:val="18"/>
        </w:rPr>
        <w:t>建筑外窗可开启比例计算</w:t>
      </w:r>
      <w:r>
        <w:rPr>
          <w:rFonts w:hint="eastAsia" w:cs="宋体"/>
          <w:sz w:val="18"/>
          <w:szCs w:val="18"/>
        </w:rPr>
        <w:t>报告</w:t>
      </w:r>
      <w:r>
        <w:rPr>
          <w:rFonts w:hint="eastAsia" w:ascii="宋体" w:hAnsi="宋体" w:cs="宋体"/>
          <w:sz w:val="18"/>
          <w:szCs w:val="18"/>
        </w:rPr>
        <w:t xml:space="preserve">/ </w:t>
      </w:r>
      <w:r>
        <w:rPr>
          <w:rFonts w:hint="eastAsia" w:ascii="宋体" w:hAnsi="宋体"/>
          <w:sz w:val="18"/>
          <w:szCs w:val="18"/>
        </w:rPr>
        <w:t>□</w:t>
      </w:r>
      <w:r>
        <w:rPr>
          <w:rFonts w:hint="eastAsia" w:ascii="宋体" w:hAnsi="宋体" w:cs="宋体"/>
          <w:sz w:val="18"/>
          <w:szCs w:val="18"/>
        </w:rPr>
        <w:t>公共建筑室内自然通风模拟分析报告；□设计图纸（专业、图号）</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11设置可调节遮阳设施，改善室内热舒适。</w:t>
      </w:r>
    </w:p>
    <w:p>
      <w:pPr>
        <w:spacing w:line="240" w:lineRule="exact"/>
        <w:rPr>
          <w:rFonts w:ascii="宋体"/>
          <w:sz w:val="18"/>
          <w:szCs w:val="18"/>
        </w:rPr>
      </w:pPr>
      <w:r>
        <w:rPr>
          <w:rFonts w:hint="eastAsia" w:ascii="宋体" w:hAnsi="宋体" w:cs="宋体"/>
          <w:sz w:val="18"/>
          <w:szCs w:val="18"/>
        </w:rPr>
        <w:t>技术措施说明：（说明所采用的可控遮阳调节措施及应用位置）</w:t>
      </w:r>
    </w:p>
    <w:p>
      <w:pPr>
        <w:spacing w:line="240" w:lineRule="exact"/>
        <w:rPr>
          <w:rFonts w:ascii="黑体" w:hAnsi="宋体"/>
          <w:sz w:val="18"/>
          <w:szCs w:val="18"/>
        </w:rPr>
      </w:pPr>
      <w:r>
        <w:rPr>
          <w:rFonts w:hint="eastAsia" w:ascii="宋体" w:hAnsi="宋体" w:cs="宋体"/>
          <w:sz w:val="18"/>
          <w:szCs w:val="18"/>
        </w:rPr>
        <w:t>证明材料：</w:t>
      </w:r>
      <w:r>
        <w:rPr>
          <w:rFonts w:hint="eastAsia" w:ascii="宋体" w:hAnsi="宋体"/>
          <w:sz w:val="18"/>
          <w:szCs w:val="18"/>
        </w:rPr>
        <w:t>□可调节遮阳设施的面积比例计算</w:t>
      </w:r>
      <w:r>
        <w:rPr>
          <w:rFonts w:hint="eastAsia" w:cs="宋体"/>
          <w:sz w:val="18"/>
          <w:szCs w:val="18"/>
        </w:rPr>
        <w:t>报告</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给排水专业</w:t>
      </w:r>
    </w:p>
    <w:p>
      <w:pPr>
        <w:spacing w:line="240" w:lineRule="exact"/>
        <w:rPr>
          <w:rFonts w:ascii="黑体" w:hAnsi="宋体" w:eastAsia="黑体"/>
          <w:sz w:val="18"/>
          <w:szCs w:val="18"/>
        </w:rPr>
      </w:pPr>
      <w:r>
        <w:rPr>
          <w:rFonts w:ascii="黑体" w:hAnsi="宋体" w:eastAsia="黑体" w:cs="黑体"/>
          <w:sz w:val="18"/>
          <w:szCs w:val="18"/>
        </w:rPr>
        <w:t>5.2.3</w:t>
      </w:r>
      <w:r>
        <w:rPr>
          <w:rFonts w:hint="eastAsia" w:ascii="黑体" w:hAnsi="宋体" w:eastAsia="黑体" w:cs="黑体"/>
          <w:sz w:val="18"/>
          <w:szCs w:val="18"/>
        </w:rPr>
        <w:t>直饮水、集中生活热水、游泳池水、供暖空调系统用水、景观水体等的水质符合国家现行有关标准的规定。</w:t>
      </w:r>
    </w:p>
    <w:p>
      <w:pPr>
        <w:spacing w:line="240" w:lineRule="exact"/>
        <w:rPr>
          <w:rFonts w:ascii="宋体"/>
          <w:sz w:val="18"/>
          <w:szCs w:val="18"/>
        </w:rPr>
      </w:pPr>
      <w:r>
        <w:rPr>
          <w:rFonts w:hint="eastAsia" w:ascii="宋体" w:hAnsi="宋体" w:cs="宋体"/>
          <w:sz w:val="18"/>
          <w:szCs w:val="18"/>
        </w:rPr>
        <w:t>技术措施说明：（对项目用水符合国家有关标准要求的情况进行说明）</w:t>
      </w:r>
    </w:p>
    <w:p>
      <w:pPr>
        <w:spacing w:line="240" w:lineRule="exact"/>
        <w:rPr>
          <w:rFonts w:ascii="黑体" w:hAnsi="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5.2.4</w:t>
      </w:r>
      <w:r>
        <w:rPr>
          <w:rFonts w:hint="eastAsia" w:ascii="黑体" w:hAnsi="宋体" w:eastAsia="黑体" w:cs="黑体"/>
          <w:sz w:val="18"/>
          <w:szCs w:val="18"/>
        </w:rPr>
        <w:t>生活饮用水水池、水箱等储水设施采取措施满足卫生要求。</w:t>
      </w:r>
    </w:p>
    <w:p>
      <w:pPr>
        <w:spacing w:line="240" w:lineRule="exact"/>
        <w:rPr>
          <w:rFonts w:ascii="宋体"/>
          <w:sz w:val="18"/>
          <w:szCs w:val="18"/>
        </w:rPr>
      </w:pPr>
      <w:r>
        <w:rPr>
          <w:rFonts w:hint="eastAsia" w:ascii="宋体" w:hAnsi="宋体" w:cs="宋体"/>
          <w:sz w:val="18"/>
          <w:szCs w:val="18"/>
        </w:rPr>
        <w:t>技术措施说明：（对成品水箱设计要求、保证储水不变质的措施进行说明）</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5所有给水排水管道、设备、设施设置明确、清晰的永久性标识。</w:t>
      </w:r>
    </w:p>
    <w:p>
      <w:pPr>
        <w:spacing w:line="240" w:lineRule="exact"/>
        <w:rPr>
          <w:rFonts w:ascii="宋体"/>
          <w:sz w:val="18"/>
          <w:szCs w:val="18"/>
        </w:rPr>
      </w:pPr>
      <w:r>
        <w:rPr>
          <w:rFonts w:hint="eastAsia" w:ascii="宋体" w:hAnsi="宋体" w:cs="宋体"/>
          <w:sz w:val="18"/>
          <w:szCs w:val="18"/>
        </w:rPr>
        <w:t>技术措施说明：（对永久性标识的设置情况进行说明）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暖通专业</w:t>
      </w:r>
    </w:p>
    <w:p>
      <w:pPr>
        <w:spacing w:line="240" w:lineRule="exact"/>
        <w:rPr>
          <w:rFonts w:ascii="黑体" w:hAnsi="宋体" w:eastAsia="黑体"/>
          <w:sz w:val="18"/>
          <w:szCs w:val="18"/>
        </w:rPr>
      </w:pPr>
      <w:r>
        <w:rPr>
          <w:rFonts w:ascii="黑体" w:hAnsi="宋体" w:eastAsia="黑体" w:cs="黑体"/>
          <w:sz w:val="18"/>
          <w:szCs w:val="18"/>
        </w:rPr>
        <w:t>5.2.</w:t>
      </w:r>
      <w:r>
        <w:rPr>
          <w:rFonts w:hint="eastAsia" w:ascii="黑体" w:hAnsi="宋体" w:eastAsia="黑体" w:cs="黑体"/>
          <w:sz w:val="18"/>
          <w:szCs w:val="18"/>
        </w:rPr>
        <w:t>9具有良好的室内热湿环境。</w:t>
      </w:r>
    </w:p>
    <w:p>
      <w:pPr>
        <w:spacing w:line="240" w:lineRule="exact"/>
        <w:rPr>
          <w:rFonts w:ascii="宋体"/>
          <w:sz w:val="18"/>
          <w:szCs w:val="18"/>
        </w:rPr>
      </w:pPr>
      <w:r>
        <w:rPr>
          <w:rFonts w:hint="eastAsia" w:ascii="宋体" w:hAnsi="宋体" w:cs="宋体"/>
          <w:sz w:val="18"/>
          <w:szCs w:val="18"/>
        </w:rPr>
        <w:t>技术措施说明：（对室内热湿环境及热舒适性保持时间进行说明）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□室内</w:t>
      </w:r>
      <w:r>
        <w:rPr>
          <w:rFonts w:hint="eastAsia" w:ascii="宋体" w:hAnsi="宋体" w:cs="宋体"/>
          <w:sz w:val="18"/>
          <w:szCs w:val="18"/>
        </w:rPr>
        <w:t>热湿环境模拟分析报告；</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rPr>
          <w:rFonts w:ascii="黑体" w:hAnsi="黑体" w:eastAsia="黑体" w:cs="黑体"/>
          <w:b/>
          <w:bCs/>
          <w:sz w:val="24"/>
          <w:szCs w:val="24"/>
        </w:rPr>
      </w:pPr>
      <w:r>
        <w:rPr>
          <w:rFonts w:hint="eastAsia" w:ascii="黑体" w:hAnsi="黑体" w:eastAsia="黑体" w:cs="黑体"/>
          <w:b/>
          <w:bCs/>
          <w:sz w:val="24"/>
          <w:szCs w:val="24"/>
        </w:rPr>
        <w:t>3、生活便利（</w:t>
      </w:r>
      <w:r>
        <w:t>实际得分</w:t>
      </w:r>
      <w:r>
        <w:rPr>
          <w:u w:val="single"/>
        </w:rPr>
        <w:t>　　</w:t>
      </w:r>
      <w:r>
        <w:t>分</w:t>
      </w:r>
      <w:r>
        <w:rPr>
          <w:rFonts w:hint="eastAsia" w:ascii="黑体" w:hAnsi="黑体" w:eastAsia="黑体" w:cs="黑体"/>
          <w:b/>
          <w:bCs/>
          <w:sz w:val="24"/>
          <w:szCs w:val="24"/>
        </w:rPr>
        <w:t>）</w:t>
      </w:r>
    </w:p>
    <w:p>
      <w:pPr>
        <w:spacing w:line="240" w:lineRule="exact"/>
        <w:rPr>
          <w:rFonts w:hAnsi="黑体" w:eastAsia="黑体"/>
          <w:b/>
          <w:bCs/>
          <w:kern w:val="0"/>
          <w:sz w:val="18"/>
          <w:szCs w:val="18"/>
        </w:rPr>
      </w:pPr>
    </w:p>
    <w:p>
      <w:pPr>
        <w:jc w:val="center"/>
        <w:rPr>
          <w:b/>
          <w:bCs/>
          <w:sz w:val="18"/>
          <w:szCs w:val="18"/>
        </w:rPr>
      </w:pPr>
      <w:r>
        <w:rPr>
          <w:rFonts w:hint="eastAsia"/>
          <w:b/>
          <w:bCs/>
          <w:sz w:val="18"/>
          <w:szCs w:val="18"/>
        </w:rPr>
        <w:t>必须说明内容（控制项）</w:t>
      </w:r>
    </w:p>
    <w:p>
      <w:pPr>
        <w:spacing w:line="240" w:lineRule="exact"/>
        <w:jc w:val="center"/>
        <w:rPr>
          <w:b/>
          <w:bCs/>
          <w:sz w:val="18"/>
          <w:szCs w:val="18"/>
        </w:rPr>
      </w:pPr>
    </w:p>
    <w:p>
      <w:pPr>
        <w:spacing w:line="240" w:lineRule="exact"/>
        <w:rPr>
          <w:b/>
          <w:bCs/>
          <w:sz w:val="18"/>
          <w:szCs w:val="18"/>
        </w:rPr>
      </w:pPr>
      <w:r>
        <w:rPr>
          <w:rFonts w:hint="eastAsia"/>
          <w:b/>
          <w:bCs/>
          <w:sz w:val="18"/>
          <w:szCs w:val="18"/>
        </w:rPr>
        <w:t>规划专业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6.1.</w:t>
      </w:r>
      <w:r>
        <w:rPr>
          <w:rFonts w:hint="eastAsia" w:ascii="黑体" w:hAnsi="宋体" w:eastAsia="黑体" w:cs="黑体"/>
          <w:sz w:val="18"/>
          <w:szCs w:val="18"/>
        </w:rPr>
        <w:t>2场地人行出入口500m内应设有公共交通站点或配备联系公共交通站点的专用接驳车。</w:t>
      </w:r>
    </w:p>
    <w:p>
      <w:pPr>
        <w:spacing w:line="240" w:lineRule="exact"/>
        <w:rPr>
          <w:rFonts w:ascii="宋体"/>
          <w:sz w:val="18"/>
          <w:szCs w:val="18"/>
        </w:rPr>
      </w:pPr>
      <w:r>
        <w:rPr>
          <w:rFonts w:hint="eastAsia" w:ascii="宋体" w:hAnsi="宋体" w:cs="宋体"/>
          <w:sz w:val="18"/>
          <w:szCs w:val="18"/>
        </w:rPr>
        <w:t>技术措施说明：（对场地内公共交通站点之间的交通流线或联系公共交通站点的专用接驳车设置情况进行说明，其距离数值宜采用约数）</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□场地周边公共交通设施布局示意图；□</w:t>
      </w:r>
      <w:r>
        <w:rPr>
          <w:rFonts w:hint="eastAsia" w:ascii="宋体" w:hAnsi="宋体" w:cs="宋体"/>
          <w:sz w:val="18"/>
          <w:szCs w:val="18"/>
        </w:rPr>
        <w:t>设计图纸（专业、图号）</w:t>
      </w:r>
    </w:p>
    <w:p>
      <w:pPr>
        <w:spacing w:line="240" w:lineRule="exact"/>
        <w:rPr>
          <w:b/>
          <w:bCs/>
          <w:sz w:val="18"/>
          <w:szCs w:val="18"/>
        </w:rPr>
      </w:pPr>
      <w:r>
        <w:rPr>
          <w:rFonts w:hint="eastAsia"/>
          <w:b/>
          <w:bCs/>
          <w:sz w:val="18"/>
          <w:szCs w:val="18"/>
        </w:rPr>
        <w:t>建筑专业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6.1.</w:t>
      </w:r>
      <w:r>
        <w:rPr>
          <w:rFonts w:hint="eastAsia" w:ascii="黑体" w:hAnsi="宋体" w:eastAsia="黑体" w:cs="黑体"/>
          <w:sz w:val="18"/>
          <w:szCs w:val="18"/>
        </w:rPr>
        <w:t>3停车场应具有电动汽车充电设施或具备充电设施的安装条件，并应合理设置电动汽车和无障碍汽车停车位。</w:t>
      </w:r>
    </w:p>
    <w:p>
      <w:pPr>
        <w:spacing w:line="240" w:lineRule="exact"/>
        <w:rPr>
          <w:rFonts w:ascii="宋体"/>
          <w:sz w:val="18"/>
          <w:szCs w:val="18"/>
        </w:rPr>
      </w:pPr>
      <w:r>
        <w:rPr>
          <w:rFonts w:hint="eastAsia" w:ascii="宋体" w:hAnsi="宋体" w:cs="宋体"/>
          <w:sz w:val="18"/>
          <w:szCs w:val="18"/>
        </w:rPr>
        <w:t>技术措施说明：（说明电动汽车、无障碍停车位的设置情况）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6.1.</w:t>
      </w:r>
      <w:r>
        <w:rPr>
          <w:rFonts w:hint="eastAsia" w:ascii="黑体" w:hAnsi="宋体" w:eastAsia="黑体" w:cs="黑体"/>
          <w:sz w:val="18"/>
          <w:szCs w:val="18"/>
        </w:rPr>
        <w:t>4自行车停车场所应位置合理、方便出入。</w:t>
      </w:r>
    </w:p>
    <w:p>
      <w:pPr>
        <w:spacing w:line="240" w:lineRule="exact"/>
        <w:rPr>
          <w:rFonts w:ascii="宋体"/>
          <w:sz w:val="18"/>
          <w:szCs w:val="18"/>
        </w:rPr>
      </w:pPr>
      <w:r>
        <w:rPr>
          <w:rFonts w:hint="eastAsia" w:ascii="宋体" w:hAnsi="宋体" w:cs="宋体"/>
          <w:sz w:val="18"/>
          <w:szCs w:val="18"/>
        </w:rPr>
        <w:t>技术措施说明：（说明自行车停车场所设计情况、停车管理等）</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r>
        <w:rPr>
          <w:rFonts w:hint="eastAsia"/>
          <w:b/>
          <w:bCs/>
          <w:sz w:val="18"/>
          <w:szCs w:val="18"/>
        </w:rPr>
        <w:t>电气专业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6.1.</w:t>
      </w:r>
      <w:r>
        <w:rPr>
          <w:rFonts w:hint="eastAsia" w:ascii="黑体" w:hAnsi="宋体" w:eastAsia="黑体" w:cs="黑体"/>
          <w:sz w:val="18"/>
          <w:szCs w:val="18"/>
        </w:rPr>
        <w:t>3停车场应具有电动汽车充电设施或具备充电设施的安装条件，并应合理设置电动汽车和无障碍汽车停车位。</w:t>
      </w:r>
    </w:p>
    <w:p>
      <w:pPr>
        <w:spacing w:line="240" w:lineRule="exact"/>
        <w:rPr>
          <w:rFonts w:ascii="宋体"/>
          <w:sz w:val="18"/>
          <w:szCs w:val="18"/>
        </w:rPr>
      </w:pPr>
      <w:r>
        <w:rPr>
          <w:rFonts w:hint="eastAsia" w:ascii="宋体" w:hAnsi="宋体" w:cs="宋体"/>
          <w:sz w:val="18"/>
          <w:szCs w:val="18"/>
        </w:rPr>
        <w:t>技术措施说明：（说明电动汽车充电设施的设置情况）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□用电负荷计算书；□</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6.1.</w:t>
      </w:r>
      <w:r>
        <w:rPr>
          <w:rFonts w:hint="eastAsia" w:ascii="黑体" w:hAnsi="宋体" w:eastAsia="黑体" w:cs="黑体"/>
          <w:sz w:val="18"/>
          <w:szCs w:val="18"/>
        </w:rPr>
        <w:t>5建筑设备管理系统应具有自动监控管理功能。</w:t>
      </w:r>
    </w:p>
    <w:p>
      <w:pPr>
        <w:spacing w:line="240" w:lineRule="exact"/>
        <w:rPr>
          <w:rFonts w:ascii="宋体"/>
          <w:sz w:val="18"/>
          <w:szCs w:val="18"/>
        </w:rPr>
      </w:pPr>
      <w:r>
        <w:rPr>
          <w:rFonts w:hint="eastAsia" w:ascii="宋体" w:hAnsi="宋体" w:cs="宋体"/>
          <w:sz w:val="18"/>
          <w:szCs w:val="18"/>
        </w:rPr>
        <w:t>技术措施说明：（说明自动监控系统设置情况和管理功能）</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color w:val="000000" w:themeColor="text1"/>
                <w:kern w:val="0"/>
                <w:sz w:val="18"/>
                <w:szCs w:val="18"/>
                <w14:textFill>
                  <w14:solidFill>
                    <w14:schemeClr w14:val="tx1"/>
                  </w14:solidFill>
                </w14:textFill>
              </w:rPr>
            </w:pPr>
            <w:r>
              <w:rPr>
                <w:rFonts w:hint="eastAsia" w:ascii="黑体" w:hAnsi="宋体" w:eastAsia="黑体" w:cs="黑体"/>
                <w:color w:val="000000" w:themeColor="text1"/>
                <w:kern w:val="0"/>
                <w:sz w:val="18"/>
                <w:szCs w:val="18"/>
                <w14:textFill>
                  <w14:solidFill>
                    <w14:schemeClr w14:val="tx1"/>
                  </w14:solidFill>
                </w14:textFill>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color w:val="000000" w:themeColor="text1"/>
                <w:kern w:val="0"/>
                <w:sz w:val="18"/>
                <w:szCs w:val="18"/>
                <w14:textFill>
                  <w14:solidFill>
                    <w14:schemeClr w14:val="tx1"/>
                  </w14:solidFill>
                </w14:textFill>
              </w:rPr>
            </w:pPr>
            <w:r>
              <w:rPr>
                <w:rFonts w:hint="eastAsia" w:ascii="黑体" w:hAnsi="宋体" w:eastAsia="黑体" w:cs="黑体"/>
                <w:color w:val="000000" w:themeColor="text1"/>
                <w:kern w:val="0"/>
                <w:sz w:val="18"/>
                <w:szCs w:val="18"/>
                <w14:textFill>
                  <w14:solidFill>
                    <w14:schemeClr w14:val="tx1"/>
                  </w14:solidFill>
                </w14:textFill>
              </w:rPr>
              <w:t>√</w:t>
            </w:r>
          </w:p>
        </w:tc>
      </w:tr>
    </w:tbl>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6.1.</w:t>
      </w:r>
      <w:r>
        <w:rPr>
          <w:rFonts w:hint="eastAsia" w:ascii="黑体" w:hAnsi="宋体" w:eastAsia="黑体" w:cs="黑体"/>
          <w:color w:val="000000" w:themeColor="text1"/>
          <w:sz w:val="18"/>
          <w:szCs w:val="18"/>
          <w14:textFill>
            <w14:solidFill>
              <w14:schemeClr w14:val="tx1"/>
            </w14:solidFill>
          </w14:textFill>
        </w:rPr>
        <w:t>6建筑应设置信息网络系统。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技术措施说明：（说明信息网络系统的设置情况和管理功能）</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p>
      <w:pPr>
        <w:spacing w:line="240" w:lineRule="exact"/>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景观专业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color w:val="000000" w:themeColor="text1"/>
                <w:kern w:val="0"/>
                <w:sz w:val="18"/>
                <w:szCs w:val="18"/>
                <w14:textFill>
                  <w14:solidFill>
                    <w14:schemeClr w14:val="tx1"/>
                  </w14:solidFill>
                </w14:textFill>
              </w:rPr>
            </w:pPr>
            <w:r>
              <w:rPr>
                <w:rFonts w:hint="eastAsia" w:ascii="黑体" w:hAnsi="宋体" w:eastAsia="黑体" w:cs="黑体"/>
                <w:color w:val="000000" w:themeColor="text1"/>
                <w:kern w:val="0"/>
                <w:sz w:val="18"/>
                <w:szCs w:val="18"/>
                <w14:textFill>
                  <w14:solidFill>
                    <w14:schemeClr w14:val="tx1"/>
                  </w14:solidFill>
                </w14:textFill>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color w:val="000000" w:themeColor="text1"/>
                <w:kern w:val="0"/>
                <w:sz w:val="18"/>
                <w:szCs w:val="18"/>
                <w14:textFill>
                  <w14:solidFill>
                    <w14:schemeClr w14:val="tx1"/>
                  </w14:solidFill>
                </w14:textFill>
              </w:rPr>
            </w:pPr>
            <w:r>
              <w:rPr>
                <w:rFonts w:hint="eastAsia" w:ascii="黑体" w:hAnsi="宋体" w:eastAsia="黑体" w:cs="黑体"/>
                <w:color w:val="000000" w:themeColor="text1"/>
                <w:kern w:val="0"/>
                <w:sz w:val="18"/>
                <w:szCs w:val="18"/>
                <w14:textFill>
                  <w14:solidFill>
                    <w14:schemeClr w14:val="tx1"/>
                  </w14:solidFill>
                </w14:textFill>
              </w:rPr>
              <w:t>√</w:t>
            </w:r>
          </w:p>
        </w:tc>
      </w:tr>
    </w:tbl>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6.1.1</w:t>
      </w:r>
      <w:r>
        <w:rPr>
          <w:rFonts w:hint="eastAsia" w:ascii="黑体" w:hAnsi="宋体" w:eastAsia="黑体" w:cs="黑体"/>
          <w:color w:val="000000" w:themeColor="text1"/>
          <w:sz w:val="18"/>
          <w:szCs w:val="18"/>
          <w14:textFill>
            <w14:solidFill>
              <w14:schemeClr w14:val="tx1"/>
            </w14:solidFill>
          </w14:textFill>
        </w:rPr>
        <w:t>建筑、室外场地、公共绿地、城市道路相互之间应设置连贯的无障碍步行系统。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技术措施说明：（说明场地内各步道及场地内外联系的无障碍设计情况）</w:t>
      </w:r>
    </w:p>
    <w:p>
      <w:pPr>
        <w:spacing w:line="240" w:lineRule="exact"/>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sz w:val="18"/>
          <w:szCs w:val="18"/>
        </w:rPr>
        <w:t>□</w:t>
      </w:r>
      <w:bookmarkStart w:id="3" w:name="_Hlk201580605"/>
      <w:r>
        <w:rPr>
          <w:rFonts w:hint="eastAsia" w:ascii="宋体" w:hAnsi="宋体"/>
          <w:color w:val="000000" w:themeColor="text1"/>
          <w:sz w:val="18"/>
          <w:szCs w:val="18"/>
          <w14:textFill>
            <w14:solidFill>
              <w14:schemeClr w14:val="tx1"/>
            </w14:solidFill>
          </w14:textFill>
        </w:rPr>
        <w:t>二次设计达标承诺函</w:t>
      </w:r>
      <w:bookmarkEnd w:id="3"/>
    </w:p>
    <w:p>
      <w:pPr>
        <w:spacing w:line="240" w:lineRule="exact"/>
        <w:rPr>
          <w:rFonts w:ascii="宋体" w:hAnsi="宋体"/>
          <w:sz w:val="18"/>
          <w:szCs w:val="18"/>
        </w:rPr>
      </w:pPr>
    </w:p>
    <w:p>
      <w:pPr>
        <w:spacing w:line="240" w:lineRule="exact"/>
        <w:rPr>
          <w:rFonts w:ascii="宋体" w:hAnsi="宋体"/>
          <w:sz w:val="18"/>
          <w:szCs w:val="18"/>
        </w:rPr>
      </w:pPr>
      <w:r>
        <w:rPr>
          <w:rFonts w:hint="eastAsia" w:cs="宋体"/>
          <w:b/>
          <w:bCs/>
          <w:sz w:val="18"/>
          <w:szCs w:val="18"/>
        </w:rPr>
        <w:t>全专业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r>
    </w:tbl>
    <w:p>
      <w:pPr>
        <w:spacing w:line="240" w:lineRule="exact"/>
        <w:rPr>
          <w:rFonts w:ascii="黑体" w:eastAsia="黑体"/>
          <w:sz w:val="18"/>
          <w:szCs w:val="18"/>
        </w:rPr>
      </w:pPr>
      <w:r>
        <w:rPr>
          <w:rFonts w:hint="eastAsia" w:ascii="黑体" w:eastAsia="黑体" w:cs="黑体"/>
          <w:sz w:val="18"/>
          <w:szCs w:val="18"/>
        </w:rPr>
        <w:t>6.1.7 生活便利相关技术要求应符合现行强制性工程建设规范的规定。</w:t>
      </w:r>
    </w:p>
    <w:p>
      <w:pPr>
        <w:spacing w:line="240" w:lineRule="exact"/>
        <w:rPr>
          <w:rFonts w:ascii="黑体" w:eastAsia="黑体"/>
          <w:sz w:val="18"/>
          <w:szCs w:val="18"/>
        </w:rPr>
      </w:pPr>
      <w:r>
        <w:rPr>
          <w:rFonts w:hint="eastAsia" w:ascii="宋体" w:hAnsi="宋体" w:cs="宋体"/>
          <w:sz w:val="18"/>
          <w:szCs w:val="18"/>
        </w:rPr>
        <w:t>技术措施说明：（说明本专业适用的强制性工程建设规范的技术要求及设计情况）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自选说明内容（评分项）</w:t>
      </w:r>
    </w:p>
    <w:p>
      <w:pPr>
        <w:spacing w:line="240" w:lineRule="exact"/>
        <w:jc w:val="center"/>
        <w:rPr>
          <w:b/>
          <w:bCs/>
          <w:sz w:val="18"/>
          <w:szCs w:val="18"/>
        </w:rPr>
      </w:pP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1"/>
        <w:gridCol w:w="636"/>
        <w:gridCol w:w="636"/>
        <w:gridCol w:w="637"/>
        <w:gridCol w:w="637"/>
        <w:gridCol w:w="637"/>
        <w:gridCol w:w="637"/>
        <w:gridCol w:w="637"/>
        <w:gridCol w:w="637"/>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6"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.2.1</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.2.2</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.2.3</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.2.4</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.2.6</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.2.7</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6</w:t>
            </w:r>
            <w:r>
              <w:rPr>
                <w:rFonts w:ascii="Calibri" w:hAnsi="Calibri" w:eastAsia="宋体" w:cs="Calibri"/>
                <w:sz w:val="18"/>
                <w:szCs w:val="18"/>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6"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7</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6"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r>
    </w:tbl>
    <w:p>
      <w:pPr>
        <w:spacing w:line="240" w:lineRule="exact"/>
        <w:jc w:val="center"/>
        <w:rPr>
          <w:b/>
          <w:bCs/>
          <w:sz w:val="18"/>
          <w:szCs w:val="18"/>
        </w:rPr>
      </w:pPr>
    </w:p>
    <w:p>
      <w:pPr>
        <w:spacing w:line="240" w:lineRule="exact"/>
        <w:rPr>
          <w:b/>
          <w:bCs/>
          <w:sz w:val="18"/>
          <w:szCs w:val="18"/>
        </w:rPr>
      </w:pPr>
      <w:r>
        <w:rPr>
          <w:rFonts w:hint="eastAsia"/>
          <w:b/>
          <w:bCs/>
          <w:sz w:val="18"/>
          <w:szCs w:val="18"/>
        </w:rPr>
        <w:t>规划专业</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1场地与公共交通站点联系便捷。</w:t>
      </w:r>
    </w:p>
    <w:p>
      <w:pPr>
        <w:spacing w:line="240" w:lineRule="exact"/>
        <w:rPr>
          <w:rFonts w:ascii="宋体"/>
          <w:sz w:val="18"/>
          <w:szCs w:val="18"/>
        </w:rPr>
      </w:pPr>
      <w:r>
        <w:rPr>
          <w:rFonts w:hint="eastAsia" w:ascii="宋体" w:hAnsi="宋体" w:cs="宋体"/>
          <w:sz w:val="18"/>
          <w:szCs w:val="18"/>
        </w:rPr>
        <w:t>技术措施说明：（对场地内公共交通站点之间的交通流线或联系公共交通站点的专用接驳车设置情况进行说明）</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□场地周边公共交通设施布局示意图；□</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3提供便利的公共服务。</w:t>
      </w:r>
    </w:p>
    <w:p>
      <w:pPr>
        <w:spacing w:line="240" w:lineRule="exact"/>
        <w:rPr>
          <w:rFonts w:ascii="宋体"/>
          <w:sz w:val="18"/>
          <w:szCs w:val="18"/>
        </w:rPr>
      </w:pPr>
      <w:r>
        <w:rPr>
          <w:rFonts w:hint="eastAsia" w:ascii="宋体" w:hAnsi="宋体" w:cs="宋体"/>
          <w:sz w:val="18"/>
          <w:szCs w:val="18"/>
        </w:rPr>
        <w:t>技术措施说明：（说明项目各项公共服务的设置情况）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□公共服务设施布局图及位置标识图；□</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4城市绿地、广场及公共运动场地等开敞空间，步行可达。</w:t>
      </w:r>
    </w:p>
    <w:p>
      <w:pPr>
        <w:spacing w:line="240" w:lineRule="exact"/>
        <w:rPr>
          <w:rFonts w:ascii="宋体"/>
          <w:sz w:val="18"/>
          <w:szCs w:val="18"/>
        </w:rPr>
      </w:pPr>
      <w:r>
        <w:rPr>
          <w:rFonts w:hint="eastAsia" w:ascii="宋体" w:hAnsi="宋体" w:cs="宋体"/>
          <w:sz w:val="18"/>
          <w:szCs w:val="18"/>
        </w:rPr>
        <w:t>技术措施说明：（说明项目场地周边的城市公共开敞空间；说明与中型多功能运动场地的步行距离）</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□场地周边公共设施布局图或规划图；□</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2 建筑室内公共区域满足全龄化设计要求。</w:t>
      </w:r>
    </w:p>
    <w:p>
      <w:pPr>
        <w:spacing w:line="240" w:lineRule="exact"/>
        <w:rPr>
          <w:rFonts w:ascii="宋体"/>
          <w:sz w:val="18"/>
          <w:szCs w:val="18"/>
        </w:rPr>
      </w:pPr>
      <w:r>
        <w:rPr>
          <w:rFonts w:hint="eastAsia" w:ascii="宋体" w:hAnsi="宋体" w:cs="宋体"/>
          <w:sz w:val="18"/>
          <w:szCs w:val="18"/>
        </w:rPr>
        <w:t>技术措施说明：（说明建筑室内公共区域满足全龄化设计情况）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5合理设置健身场地和空间。</w:t>
      </w:r>
    </w:p>
    <w:p>
      <w:pPr>
        <w:spacing w:line="240" w:lineRule="exact"/>
        <w:rPr>
          <w:rFonts w:ascii="宋体"/>
          <w:sz w:val="18"/>
          <w:szCs w:val="18"/>
        </w:rPr>
      </w:pPr>
      <w:r>
        <w:rPr>
          <w:rFonts w:hint="eastAsia" w:ascii="宋体" w:hAnsi="宋体" w:cs="宋体"/>
          <w:sz w:val="18"/>
          <w:szCs w:val="18"/>
        </w:rPr>
        <w:t>技术措施说明：（说明健身场地、健身空间的设置情况）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b/>
          <w:bCs/>
          <w:sz w:val="18"/>
          <w:szCs w:val="18"/>
        </w:rPr>
      </w:pPr>
      <w:r>
        <w:rPr>
          <w:rFonts w:hint="eastAsia"/>
          <w:b/>
          <w:bCs/>
          <w:sz w:val="18"/>
          <w:szCs w:val="18"/>
        </w:rPr>
        <w:t>给排水专业</w:t>
      </w:r>
    </w:p>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6.2.</w:t>
      </w:r>
      <w:r>
        <w:rPr>
          <w:rFonts w:hint="eastAsia" w:ascii="黑体" w:hAnsi="宋体" w:eastAsia="黑体" w:cs="黑体"/>
          <w:color w:val="000000" w:themeColor="text1"/>
          <w:sz w:val="18"/>
          <w:szCs w:val="18"/>
          <w14:textFill>
            <w14:solidFill>
              <w14:schemeClr w14:val="tx1"/>
            </w14:solidFill>
          </w14:textFill>
        </w:rPr>
        <w:t>8设置用水远传计量系统、水质在线监测系统。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技术措施说明：（说明用水计量系统设置情况）</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电气专业</w:t>
      </w:r>
    </w:p>
    <w:p>
      <w:pPr>
        <w:spacing w:line="240" w:lineRule="exact"/>
        <w:rPr>
          <w:rFonts w:ascii="黑体" w:hAnsi="宋体" w:eastAsia="黑体"/>
          <w:sz w:val="18"/>
          <w:szCs w:val="18"/>
        </w:rPr>
      </w:pPr>
      <w:r>
        <w:rPr>
          <w:rFonts w:ascii="黑体" w:hAnsi="宋体" w:eastAsia="黑体" w:cs="黑体"/>
          <w:sz w:val="18"/>
          <w:szCs w:val="18"/>
        </w:rPr>
        <w:t>6.2.</w:t>
      </w:r>
      <w:r>
        <w:rPr>
          <w:rFonts w:hint="eastAsia" w:ascii="黑体" w:hAnsi="宋体" w:eastAsia="黑体" w:cs="黑体"/>
          <w:sz w:val="18"/>
          <w:szCs w:val="18"/>
        </w:rPr>
        <w:t>6设置分类、分级用能自动远传计量系统，且设置能源管理系统实现对建筑能耗的监测、数据分析和管理。</w:t>
      </w:r>
    </w:p>
    <w:p>
      <w:pPr>
        <w:spacing w:line="240" w:lineRule="exact"/>
        <w:rPr>
          <w:rFonts w:ascii="宋体"/>
          <w:sz w:val="18"/>
          <w:szCs w:val="18"/>
        </w:rPr>
      </w:pPr>
      <w:r>
        <w:rPr>
          <w:rFonts w:hint="eastAsia" w:ascii="宋体" w:hAnsi="宋体" w:cs="宋体"/>
          <w:sz w:val="18"/>
          <w:szCs w:val="18"/>
        </w:rPr>
        <w:t>技术措施说明：（说明自动远传计量系统以及能源管理系统的设置情况）</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color w:val="000000" w:themeColor="text1"/>
          <w:sz w:val="18"/>
          <w:szCs w:val="18"/>
          <w:vertAlign w:val="subscript"/>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6.2.</w:t>
      </w:r>
      <w:r>
        <w:rPr>
          <w:rFonts w:hint="eastAsia" w:ascii="黑体" w:hAnsi="宋体" w:eastAsia="黑体" w:cs="黑体"/>
          <w:color w:val="000000" w:themeColor="text1"/>
          <w:sz w:val="18"/>
          <w:szCs w:val="18"/>
          <w14:textFill>
            <w14:solidFill>
              <w14:schemeClr w14:val="tx1"/>
            </w14:solidFill>
          </w14:textFill>
        </w:rPr>
        <w:t>7设置PM</w:t>
      </w:r>
      <w:r>
        <w:rPr>
          <w:rFonts w:hint="eastAsia" w:ascii="黑体" w:hAnsi="宋体" w:eastAsia="黑体" w:cs="黑体"/>
          <w:color w:val="000000" w:themeColor="text1"/>
          <w:sz w:val="18"/>
          <w:szCs w:val="18"/>
          <w:vertAlign w:val="subscript"/>
          <w14:textFill>
            <w14:solidFill>
              <w14:schemeClr w14:val="tx1"/>
            </w14:solidFill>
          </w14:textFill>
        </w:rPr>
        <w:t>10</w:t>
      </w:r>
      <w:r>
        <w:rPr>
          <w:rFonts w:hint="eastAsia" w:ascii="黑体" w:hAnsi="宋体" w:eastAsia="黑体" w:cs="黑体"/>
          <w:color w:val="000000" w:themeColor="text1"/>
          <w:sz w:val="18"/>
          <w:szCs w:val="18"/>
          <w14:textFill>
            <w14:solidFill>
              <w14:schemeClr w14:val="tx1"/>
            </w14:solidFill>
          </w14:textFill>
        </w:rPr>
        <w:t>、PM</w:t>
      </w:r>
      <w:r>
        <w:rPr>
          <w:rFonts w:hint="eastAsia" w:ascii="黑体" w:hAnsi="宋体" w:eastAsia="黑体" w:cs="黑体"/>
          <w:color w:val="000000" w:themeColor="text1"/>
          <w:sz w:val="18"/>
          <w:szCs w:val="18"/>
          <w:vertAlign w:val="subscript"/>
          <w14:textFill>
            <w14:solidFill>
              <w14:schemeClr w14:val="tx1"/>
            </w14:solidFill>
          </w14:textFill>
        </w:rPr>
        <w:t>2.5</w:t>
      </w:r>
      <w:r>
        <w:rPr>
          <w:rFonts w:hint="eastAsia" w:ascii="黑体" w:hAnsi="宋体" w:eastAsia="黑体" w:cs="黑体"/>
          <w:color w:val="000000" w:themeColor="text1"/>
          <w:sz w:val="18"/>
          <w:szCs w:val="18"/>
          <w14:textFill>
            <w14:solidFill>
              <w14:schemeClr w14:val="tx1"/>
            </w14:solidFill>
          </w14:textFill>
        </w:rPr>
        <w:t>、CO</w:t>
      </w:r>
      <w:r>
        <w:rPr>
          <w:rFonts w:hint="eastAsia" w:ascii="黑体" w:hAnsi="宋体" w:eastAsia="黑体" w:cs="黑体"/>
          <w:color w:val="000000" w:themeColor="text1"/>
          <w:sz w:val="18"/>
          <w:szCs w:val="18"/>
          <w:vertAlign w:val="subscript"/>
          <w14:textFill>
            <w14:solidFill>
              <w14:schemeClr w14:val="tx1"/>
            </w14:solidFill>
          </w14:textFill>
        </w:rPr>
        <w:t>2</w:t>
      </w:r>
      <w:r>
        <w:rPr>
          <w:rFonts w:hint="eastAsia" w:ascii="黑体" w:hAnsi="宋体" w:eastAsia="黑体" w:cs="黑体"/>
          <w:color w:val="000000" w:themeColor="text1"/>
          <w:sz w:val="18"/>
          <w:szCs w:val="18"/>
          <w14:textFill>
            <w14:solidFill>
              <w14:schemeClr w14:val="tx1"/>
            </w14:solidFill>
          </w14:textFill>
        </w:rPr>
        <w:t>浓度的空气质量检测系统，且具有存储至少一年的监测数据和实时显示等功能。</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技术措施说明：（说明室内空气质量监控系统的设置情况）</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6.2.</w:t>
      </w:r>
      <w:r>
        <w:rPr>
          <w:rFonts w:hint="eastAsia" w:ascii="黑体" w:hAnsi="宋体" w:eastAsia="黑体" w:cs="黑体"/>
          <w:color w:val="000000" w:themeColor="text1"/>
          <w:sz w:val="18"/>
          <w:szCs w:val="18"/>
          <w14:textFill>
            <w14:solidFill>
              <w14:schemeClr w14:val="tx1"/>
            </w14:solidFill>
          </w14:textFill>
        </w:rPr>
        <w:t>8设置用水远传计量系统、水质在线监测系统。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技术措施说明：（说明用水计量系统、分级水表安装位置及水质在线监测系统的设置情况）</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6.2.</w:t>
      </w:r>
      <w:r>
        <w:rPr>
          <w:rFonts w:hint="eastAsia" w:ascii="黑体" w:hAnsi="宋体" w:eastAsia="黑体" w:cs="黑体"/>
          <w:color w:val="000000" w:themeColor="text1"/>
          <w:sz w:val="18"/>
          <w:szCs w:val="18"/>
          <w14:textFill>
            <w14:solidFill>
              <w14:schemeClr w14:val="tx1"/>
            </w14:solidFill>
          </w14:textFill>
        </w:rPr>
        <w:t>9具有智能化服务系统。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技术措施说明：（说明智能服务系统的功能及服务平台设置情况）</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p>
      <w:pPr>
        <w:spacing w:line="240" w:lineRule="exact"/>
        <w:rPr>
          <w:b/>
          <w:bCs/>
          <w:sz w:val="18"/>
          <w:szCs w:val="18"/>
        </w:rPr>
      </w:pPr>
    </w:p>
    <w:p>
      <w:pPr>
        <w:spacing w:line="240" w:lineRule="exact"/>
        <w:rPr>
          <w:rFonts w:ascii="Calibri" w:hAnsi="Calibri" w:eastAsia="宋体" w:cs="Times New Roman"/>
          <w:b/>
          <w:bCs/>
          <w:sz w:val="18"/>
          <w:szCs w:val="18"/>
        </w:rPr>
      </w:pPr>
    </w:p>
    <w:p>
      <w:pPr>
        <w:rPr>
          <w:rFonts w:ascii="黑体" w:hAnsi="黑体" w:eastAsia="黑体" w:cs="黑体"/>
          <w:b/>
          <w:bCs/>
          <w:sz w:val="24"/>
          <w:szCs w:val="24"/>
        </w:rPr>
      </w:pPr>
      <w:r>
        <w:rPr>
          <w:rFonts w:hint="eastAsia" w:ascii="黑体" w:hAnsi="黑体" w:eastAsia="黑体" w:cs="黑体"/>
          <w:b/>
          <w:bCs/>
          <w:sz w:val="24"/>
          <w:szCs w:val="24"/>
        </w:rPr>
        <w:t>4、资源节约（</w:t>
      </w:r>
      <w:r>
        <w:t>实际得分</w:t>
      </w:r>
      <w:r>
        <w:rPr>
          <w:u w:val="single"/>
        </w:rPr>
        <w:t>　　</w:t>
      </w:r>
      <w:r>
        <w:t>分</w:t>
      </w:r>
      <w:r>
        <w:rPr>
          <w:rFonts w:hint="eastAsia" w:ascii="黑体" w:hAnsi="黑体" w:eastAsia="黑体" w:cs="黑体"/>
          <w:b/>
          <w:bCs/>
          <w:sz w:val="24"/>
          <w:szCs w:val="24"/>
        </w:rPr>
        <w:t>）</w:t>
      </w:r>
    </w:p>
    <w:p>
      <w:pPr>
        <w:spacing w:line="240" w:lineRule="exact"/>
        <w:jc w:val="center"/>
        <w:rPr>
          <w:rFonts w:cs="宋体"/>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必须说明内容（控制项）</w:t>
      </w:r>
    </w:p>
    <w:p>
      <w:pPr>
        <w:spacing w:line="240" w:lineRule="exact"/>
        <w:rPr>
          <w:rFonts w:hAnsi="黑体" w:eastAsia="黑体"/>
          <w:b/>
          <w:bCs/>
          <w:kern w:val="0"/>
          <w:sz w:val="18"/>
          <w:szCs w:val="18"/>
        </w:rPr>
      </w:pPr>
    </w:p>
    <w:p>
      <w:pPr>
        <w:spacing w:line="240" w:lineRule="exact"/>
        <w:rPr>
          <w:b/>
          <w:bCs/>
          <w:sz w:val="18"/>
          <w:szCs w:val="18"/>
        </w:rPr>
      </w:pPr>
      <w:r>
        <w:rPr>
          <w:rFonts w:hint="eastAsia"/>
          <w:b/>
          <w:bCs/>
          <w:sz w:val="18"/>
          <w:szCs w:val="18"/>
        </w:rPr>
        <w:t>建筑专业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s="黑体"/>
          <w:sz w:val="18"/>
          <w:szCs w:val="18"/>
        </w:rPr>
      </w:pPr>
      <w:r>
        <w:rPr>
          <w:rFonts w:ascii="黑体" w:hAnsi="宋体" w:eastAsia="黑体" w:cs="黑体"/>
          <w:sz w:val="18"/>
          <w:szCs w:val="18"/>
        </w:rPr>
        <w:t>7.1.1</w:t>
      </w:r>
      <w:r>
        <w:rPr>
          <w:rFonts w:hint="eastAsia" w:ascii="黑体" w:hAnsi="宋体" w:eastAsia="黑体" w:cs="黑体"/>
          <w:sz w:val="18"/>
          <w:szCs w:val="18"/>
        </w:rPr>
        <w:t>应结合场地自然条件和建筑功能需求，对建筑的体形、平面布局、空间尺度、围护结构等进行节能设计，且应符合国家有关节能设计的要求。</w:t>
      </w:r>
    </w:p>
    <w:p>
      <w:pPr>
        <w:spacing w:line="240" w:lineRule="exact"/>
        <w:rPr>
          <w:rFonts w:ascii="宋体"/>
          <w:sz w:val="18"/>
          <w:szCs w:val="18"/>
        </w:rPr>
      </w:pPr>
      <w:r>
        <w:rPr>
          <w:rFonts w:hint="eastAsia" w:ascii="宋体" w:hAnsi="宋体" w:cs="宋体"/>
          <w:sz w:val="18"/>
          <w:szCs w:val="18"/>
        </w:rPr>
        <w:t>技术措施说明：（说明围护结构热工性能指标）</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节能计算书；□设计图纸（专业、图号）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9建筑造型要素应简约，应无大量装饰性构件，并应符合下列规定：1 住宅建筑的装饰性构件造价占建筑总造价的比例不应大于2％； 2 公共建筑的装饰性构件造价占建筑总造价的比例不应大于1％。</w:t>
      </w:r>
    </w:p>
    <w:p>
      <w:pPr>
        <w:spacing w:line="240" w:lineRule="exact"/>
        <w:rPr>
          <w:rFonts w:ascii="宋体"/>
          <w:sz w:val="18"/>
          <w:szCs w:val="18"/>
        </w:rPr>
      </w:pPr>
      <w:r>
        <w:rPr>
          <w:rFonts w:hint="eastAsia" w:ascii="宋体" w:hAnsi="宋体" w:cs="宋体"/>
          <w:sz w:val="18"/>
          <w:szCs w:val="18"/>
        </w:rPr>
        <w:t>技术措施说明：（说明装饰性构件的使用情况）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□装饰性构件造价比例计算报告；□</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6垂直电梯应采取群控、变频调速或能量反馈等节能措施；自动扶梯应采用变频感应启动等节能控制措施。</w:t>
      </w:r>
    </w:p>
    <w:p>
      <w:pPr>
        <w:spacing w:line="240" w:lineRule="exact"/>
        <w:rPr>
          <w:rFonts w:ascii="宋体"/>
          <w:sz w:val="18"/>
          <w:szCs w:val="18"/>
        </w:rPr>
      </w:pPr>
      <w:r>
        <w:rPr>
          <w:rFonts w:hint="eastAsia" w:ascii="宋体" w:hAnsi="宋体" w:cs="宋体"/>
          <w:sz w:val="18"/>
          <w:szCs w:val="18"/>
        </w:rPr>
        <w:t>技术措施说明：（说明电梯和自动扶梯的节能控制策略）</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结构专业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8不应采用建筑形体和布置严重不规则的建筑结构。</w:t>
      </w:r>
    </w:p>
    <w:p>
      <w:pPr>
        <w:spacing w:line="240" w:lineRule="exact"/>
        <w:rPr>
          <w:rFonts w:ascii="宋体"/>
          <w:sz w:val="18"/>
          <w:szCs w:val="18"/>
        </w:rPr>
      </w:pPr>
      <w:r>
        <w:rPr>
          <w:rFonts w:hint="eastAsia" w:ascii="宋体" w:hAnsi="宋体" w:cs="宋体"/>
          <w:sz w:val="18"/>
          <w:szCs w:val="18"/>
        </w:rPr>
        <w:t>技术措施说明：（说明建筑形体）</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建筑形体规则性判定报告；□设计图纸（专业、图号）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7.1.1</w:t>
      </w:r>
      <w:r>
        <w:rPr>
          <w:rFonts w:hint="eastAsia" w:ascii="黑体" w:hAnsi="宋体" w:eastAsia="黑体" w:cs="黑体"/>
          <w:sz w:val="18"/>
          <w:szCs w:val="18"/>
        </w:rPr>
        <w:t>0选用的建筑材料应符合下列规定：1 500km以内生产的建筑材料重量占建筑材料总重量的比例应大于60％；2 现浇混凝土应采用预拌混凝土，建筑砂浆应采用预拌砂浆。</w:t>
      </w:r>
    </w:p>
    <w:p>
      <w:pPr>
        <w:spacing w:line="240" w:lineRule="exact"/>
        <w:rPr>
          <w:rFonts w:ascii="宋体"/>
          <w:sz w:val="18"/>
          <w:szCs w:val="18"/>
        </w:rPr>
      </w:pPr>
      <w:r>
        <w:rPr>
          <w:rFonts w:hint="eastAsia" w:ascii="宋体" w:hAnsi="宋体" w:cs="宋体"/>
          <w:sz w:val="18"/>
          <w:szCs w:val="18"/>
        </w:rPr>
        <w:t>技术措施说明：（说明本项目建材的主要供应厂家、地理位置；说明预拌砂浆和预拌混凝土的使用情况）</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r>
        <w:rPr>
          <w:rFonts w:hint="eastAsia" w:ascii="宋体" w:hAnsi="宋体"/>
          <w:sz w:val="18"/>
          <w:szCs w:val="18"/>
        </w:rPr>
        <w:t>□</w:t>
      </w:r>
      <w:r>
        <w:rPr>
          <w:rFonts w:hint="eastAsia" w:ascii="宋体" w:hAnsi="宋体" w:cs="宋体"/>
          <w:sz w:val="18"/>
          <w:szCs w:val="18"/>
        </w:rPr>
        <w:t>二次设计达标承诺函</w:t>
      </w:r>
    </w:p>
    <w:p>
      <w:pPr>
        <w:spacing w:line="240" w:lineRule="exact"/>
        <w:rPr>
          <w:b/>
          <w:bCs/>
          <w:sz w:val="18"/>
          <w:szCs w:val="18"/>
        </w:rPr>
      </w:pPr>
    </w:p>
    <w:p>
      <w:pPr>
        <w:spacing w:line="240" w:lineRule="exact"/>
        <w:rPr>
          <w:b/>
          <w:bCs/>
          <w:sz w:val="18"/>
          <w:szCs w:val="18"/>
        </w:rPr>
      </w:pPr>
      <w:r>
        <w:rPr>
          <w:rFonts w:hint="eastAsia"/>
          <w:b/>
          <w:bCs/>
          <w:sz w:val="18"/>
          <w:szCs w:val="18"/>
        </w:rPr>
        <w:t>给排水专业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7应制定水资源利用方案，统筹利用各种水资源，并应符合下列规定：1 应按使用用途、付费或管理单元，分别设置用水计量装置；2 用水点处水压大于0.2MPa的配水支管应设置减压设施，并应满足给水配件用水器具最低工作压力的要求；3 用水器具和设备应满足现行国家标准《节水型产品通过技术条件》GB/T18870的要求。</w:t>
      </w:r>
    </w:p>
    <w:p>
      <w:pPr>
        <w:spacing w:line="240" w:lineRule="exact"/>
        <w:rPr>
          <w:rFonts w:ascii="宋体"/>
          <w:sz w:val="18"/>
          <w:szCs w:val="18"/>
        </w:rPr>
      </w:pPr>
      <w:r>
        <w:rPr>
          <w:rFonts w:hint="eastAsia" w:ascii="宋体" w:hAnsi="宋体" w:cs="宋体"/>
          <w:sz w:val="18"/>
          <w:szCs w:val="18"/>
        </w:rPr>
        <w:t>技术措施说明：（说明水资源利用方案）</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水资源利用方案及说明报告；□设计图纸（专业、图号）</w:t>
      </w:r>
    </w:p>
    <w:p>
      <w:pPr>
        <w:spacing w:line="240" w:lineRule="exact"/>
        <w:rPr>
          <w:b/>
          <w:bCs/>
          <w:sz w:val="18"/>
          <w:szCs w:val="18"/>
        </w:rPr>
      </w:pPr>
      <w:r>
        <w:rPr>
          <w:rFonts w:hint="eastAsia"/>
          <w:b/>
          <w:bCs/>
          <w:sz w:val="18"/>
          <w:szCs w:val="18"/>
        </w:rPr>
        <w:t>暖通专业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2应采取措施降低部分负荷、部分空间使用下的供暖、空调系统能耗，并应符合下列规定：1 应区分房间的朝向细分供暖、空调区域，并应对系统进行分区控制；2 空调系统的电冷源综合制冷性能系数应符合现行国家标准《公共建筑节能设计标准》GB 50189的规定。</w:t>
      </w:r>
    </w:p>
    <w:p>
      <w:pPr>
        <w:spacing w:line="240" w:lineRule="exact"/>
        <w:rPr>
          <w:rFonts w:ascii="宋体"/>
          <w:sz w:val="18"/>
          <w:szCs w:val="18"/>
        </w:rPr>
      </w:pPr>
      <w:r>
        <w:rPr>
          <w:rFonts w:hint="eastAsia" w:ascii="宋体" w:hAnsi="宋体" w:cs="宋体"/>
          <w:sz w:val="18"/>
          <w:szCs w:val="18"/>
        </w:rPr>
        <w:t>技术措施说明：（说明部分负荷、部分空间使用下的运行策略以及空调系统的电冷源综合制冷性能系数值）</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3应根据建筑空间功能设置分区温度，合理降低室内过渡区空间的温度设定标准。</w:t>
      </w:r>
    </w:p>
    <w:p>
      <w:pPr>
        <w:spacing w:line="240" w:lineRule="exact"/>
        <w:rPr>
          <w:rFonts w:ascii="宋体"/>
          <w:sz w:val="18"/>
          <w:szCs w:val="18"/>
        </w:rPr>
      </w:pPr>
      <w:r>
        <w:rPr>
          <w:rFonts w:hint="eastAsia" w:ascii="宋体" w:hAnsi="宋体" w:cs="宋体"/>
          <w:sz w:val="18"/>
          <w:szCs w:val="18"/>
        </w:rPr>
        <w:t>技术措施说明：（说明根据空间功能的不同，分区温度的设置情况）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r>
        <w:rPr>
          <w:rFonts w:hint="eastAsia"/>
          <w:b/>
          <w:bCs/>
          <w:sz w:val="18"/>
          <w:szCs w:val="18"/>
        </w:rPr>
        <w:t>电气专业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4主要功能房间的照明功率密度值</w:t>
      </w:r>
      <w:r>
        <w:rPr>
          <w:rFonts w:hint="eastAsia" w:ascii="黑体" w:hAnsi="宋体" w:eastAsia="黑体" w:cs="黑体"/>
          <w:sz w:val="18"/>
          <w:szCs w:val="18"/>
          <w:lang w:eastAsia="zh-CN"/>
        </w:rPr>
        <w:t>应执行</w:t>
      </w:r>
      <w:r>
        <w:rPr>
          <w:rFonts w:hint="eastAsia" w:ascii="黑体" w:hAnsi="宋体" w:eastAsia="黑体" w:cs="黑体"/>
          <w:sz w:val="18"/>
          <w:szCs w:val="18"/>
        </w:rPr>
        <w:t>《建筑节能与可再生能源利用通用规范》GB 55015-2021</w:t>
      </w:r>
      <w:r>
        <w:rPr>
          <w:rFonts w:hint="eastAsia" w:ascii="黑体" w:hAnsi="宋体" w:eastAsia="黑体" w:cs="黑体"/>
          <w:sz w:val="18"/>
          <w:szCs w:val="18"/>
          <w:lang w:eastAsia="zh-CN"/>
        </w:rPr>
        <w:t>的</w:t>
      </w:r>
      <w:r>
        <w:rPr>
          <w:rFonts w:hint="eastAsia" w:ascii="黑体" w:hAnsi="宋体" w:eastAsia="黑体" w:cs="黑体"/>
          <w:sz w:val="18"/>
          <w:szCs w:val="18"/>
        </w:rPr>
        <w:t>规定</w:t>
      </w:r>
      <w:bookmarkStart w:id="5" w:name="_GoBack"/>
      <w:bookmarkEnd w:id="5"/>
      <w:r>
        <w:rPr>
          <w:rFonts w:hint="eastAsia" w:ascii="黑体" w:hAnsi="宋体" w:eastAsia="黑体" w:cs="黑体"/>
          <w:sz w:val="18"/>
          <w:szCs w:val="18"/>
        </w:rPr>
        <w:t>；公共区域的照明系统应采用分区、定时、感应等节能控制；采光区域的照明控制应独立于其他区域的照明控制。</w:t>
      </w:r>
    </w:p>
    <w:p>
      <w:pPr>
        <w:spacing w:line="240" w:lineRule="exact"/>
        <w:rPr>
          <w:rFonts w:ascii="宋体"/>
          <w:sz w:val="18"/>
          <w:szCs w:val="18"/>
        </w:rPr>
      </w:pPr>
      <w:r>
        <w:rPr>
          <w:rFonts w:hint="eastAsia" w:ascii="宋体" w:hAnsi="宋体" w:cs="宋体"/>
          <w:sz w:val="18"/>
          <w:szCs w:val="18"/>
        </w:rPr>
        <w:t>技术措施说明：（说明照明系统灯具选型原则、主要灯具型号和参数及照明节能的控制措施）</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照明功率密度计算书；□设计图纸（专业、图号）</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7.1.</w:t>
      </w:r>
      <w:r>
        <w:rPr>
          <w:rFonts w:hint="eastAsia" w:ascii="黑体" w:hAnsi="宋体" w:eastAsia="黑体" w:cs="黑体"/>
          <w:sz w:val="18"/>
          <w:szCs w:val="18"/>
        </w:rPr>
        <w:t>5冷热源、输配系统和照明等各部分能耗应进行独立分项计量。</w:t>
      </w:r>
    </w:p>
    <w:p>
      <w:pPr>
        <w:spacing w:line="240" w:lineRule="exact"/>
        <w:rPr>
          <w:rFonts w:ascii="宋体"/>
          <w:sz w:val="18"/>
          <w:szCs w:val="18"/>
        </w:rPr>
      </w:pPr>
      <w:r>
        <w:rPr>
          <w:rFonts w:hint="eastAsia" w:ascii="宋体" w:hAnsi="宋体" w:cs="宋体"/>
          <w:sz w:val="18"/>
          <w:szCs w:val="18"/>
        </w:rPr>
        <w:t>技术措施说明：（说明独立分项计量系统的设计、应用情况）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宋体" w:hAnsi="宋体" w:cs="宋体"/>
          <w:sz w:val="18"/>
          <w:szCs w:val="18"/>
        </w:rPr>
      </w:pPr>
    </w:p>
    <w:p>
      <w:pPr>
        <w:spacing w:line="240" w:lineRule="exact"/>
        <w:rPr>
          <w:rFonts w:ascii="宋体" w:hAnsi="宋体" w:cs="宋体"/>
          <w:sz w:val="18"/>
          <w:szCs w:val="18"/>
        </w:rPr>
      </w:pPr>
      <w:r>
        <w:rPr>
          <w:rFonts w:hint="eastAsia" w:cs="宋体"/>
          <w:b/>
          <w:bCs/>
          <w:sz w:val="18"/>
          <w:szCs w:val="18"/>
        </w:rPr>
        <w:t>全专业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r>
    </w:tbl>
    <w:p>
      <w:pPr>
        <w:spacing w:line="240" w:lineRule="exact"/>
        <w:rPr>
          <w:rFonts w:ascii="黑体" w:eastAsia="黑体"/>
          <w:sz w:val="18"/>
          <w:szCs w:val="18"/>
        </w:rPr>
      </w:pPr>
      <w:r>
        <w:rPr>
          <w:rFonts w:hint="eastAsia" w:ascii="黑体" w:eastAsia="黑体" w:cs="黑体"/>
          <w:sz w:val="18"/>
          <w:szCs w:val="18"/>
        </w:rPr>
        <w:t>7.1.11资源节约相关技术要求应符合现行强制性工程建设规范的规定。</w:t>
      </w:r>
    </w:p>
    <w:p>
      <w:pPr>
        <w:spacing w:line="240" w:lineRule="exact"/>
        <w:rPr>
          <w:rFonts w:ascii="黑体" w:eastAsia="黑体"/>
          <w:sz w:val="18"/>
          <w:szCs w:val="18"/>
        </w:rPr>
      </w:pPr>
      <w:r>
        <w:rPr>
          <w:rFonts w:hint="eastAsia" w:ascii="宋体" w:hAnsi="宋体" w:cs="宋体"/>
          <w:sz w:val="18"/>
          <w:szCs w:val="18"/>
        </w:rPr>
        <w:t>技术措施说明：（说明本专业适用的强制性工程建设规范的技术要求及设计情况）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自选说明内容（评分项）</w:t>
      </w:r>
    </w:p>
    <w:p>
      <w:pPr>
        <w:spacing w:line="240" w:lineRule="exact"/>
        <w:jc w:val="center"/>
        <w:rPr>
          <w:b/>
          <w:bCs/>
          <w:sz w:val="18"/>
          <w:szCs w:val="18"/>
        </w:rPr>
      </w:pP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636"/>
        <w:gridCol w:w="636"/>
        <w:gridCol w:w="636"/>
        <w:gridCol w:w="636"/>
        <w:gridCol w:w="636"/>
        <w:gridCol w:w="636"/>
        <w:gridCol w:w="636"/>
        <w:gridCol w:w="637"/>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2</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3</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4</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5</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6</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7</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20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r>
    </w:tbl>
    <w:p>
      <w:pPr>
        <w:spacing w:line="240" w:lineRule="exact"/>
        <w:jc w:val="center"/>
        <w:rPr>
          <w:sz w:val="18"/>
          <w:szCs w:val="18"/>
        </w:rPr>
      </w:pPr>
    </w:p>
    <w:tbl>
      <w:tblPr>
        <w:tblStyle w:val="9"/>
        <w:tblW w:w="5466"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697"/>
        <w:gridCol w:w="697"/>
        <w:gridCol w:w="697"/>
        <w:gridCol w:w="697"/>
        <w:gridCol w:w="697"/>
        <w:gridCol w:w="697"/>
        <w:gridCol w:w="697"/>
        <w:gridCol w:w="697"/>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0</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1</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2</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3</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4</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5</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6</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7</w:t>
            </w:r>
          </w:p>
        </w:tc>
        <w:tc>
          <w:tcPr>
            <w:tcW w:w="501" w:type="pct"/>
          </w:tcPr>
          <w:p>
            <w:pPr>
              <w:spacing w:line="240" w:lineRule="exact"/>
              <w:jc w:val="center"/>
              <w:rPr>
                <w:rFonts w:ascii="Calibri" w:hAnsi="Calibri" w:eastAsia="宋体" w:cs="Calibri"/>
                <w:sz w:val="18"/>
                <w:szCs w:val="18"/>
              </w:rPr>
            </w:pPr>
            <w:r>
              <w:rPr>
                <w:rFonts w:ascii="Calibri" w:hAnsi="Calibri" w:eastAsia="宋体" w:cs="Calibri"/>
                <w:sz w:val="18"/>
                <w:szCs w:val="18"/>
              </w:rPr>
              <w:t>7.2.</w:t>
            </w:r>
            <w:r>
              <w:rPr>
                <w:rFonts w:hint="eastAsia" w:ascii="Calibri" w:hAnsi="Calibri" w:eastAsia="宋体" w:cs="Calibri"/>
                <w:sz w:val="18"/>
                <w:szCs w:val="18"/>
              </w:rPr>
              <w:t>1</w:t>
            </w:r>
            <w:r>
              <w:rPr>
                <w:rFonts w:ascii="Calibri" w:hAnsi="Calibri" w:eastAsia="宋体" w:cs="Calibri"/>
                <w:sz w:val="18"/>
                <w:szCs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8</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c>
          <w:tcPr>
            <w:tcW w:w="501" w:type="pct"/>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49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c>
          <w:tcPr>
            <w:tcW w:w="501" w:type="pct"/>
          </w:tcPr>
          <w:p>
            <w:pPr>
              <w:spacing w:line="240" w:lineRule="exact"/>
              <w:jc w:val="center"/>
              <w:rPr>
                <w:rFonts w:ascii="Calibri" w:hAnsi="Calibri" w:eastAsia="宋体" w:cs="Calibri"/>
                <w:sz w:val="18"/>
                <w:szCs w:val="18"/>
              </w:rPr>
            </w:pPr>
          </w:p>
        </w:tc>
      </w:tr>
    </w:tbl>
    <w:p>
      <w:pPr>
        <w:spacing w:line="240" w:lineRule="exact"/>
        <w:jc w:val="center"/>
        <w:rPr>
          <w:b/>
          <w:bCs/>
          <w:sz w:val="18"/>
          <w:szCs w:val="18"/>
        </w:rPr>
      </w:pPr>
    </w:p>
    <w:p>
      <w:pPr>
        <w:spacing w:line="240" w:lineRule="exact"/>
        <w:rPr>
          <w:b/>
          <w:bCs/>
          <w:sz w:val="18"/>
          <w:szCs w:val="18"/>
        </w:rPr>
      </w:pPr>
      <w:r>
        <w:rPr>
          <w:rFonts w:hint="eastAsia"/>
          <w:b/>
          <w:bCs/>
          <w:sz w:val="18"/>
          <w:szCs w:val="18"/>
        </w:rPr>
        <w:t>规划专业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1节约集约利用土地。</w:t>
      </w:r>
    </w:p>
    <w:p>
      <w:pPr>
        <w:spacing w:line="240" w:lineRule="exact"/>
        <w:rPr>
          <w:rFonts w:ascii="宋体"/>
          <w:sz w:val="18"/>
          <w:szCs w:val="18"/>
        </w:rPr>
      </w:pPr>
      <w:r>
        <w:rPr>
          <w:rFonts w:hint="eastAsia" w:ascii="宋体" w:hAnsi="宋体" w:cs="宋体"/>
          <w:sz w:val="18"/>
          <w:szCs w:val="18"/>
        </w:rPr>
        <w:t>技术措施说明：（居住建筑说明项目用地面积，居住人数，人均居住用地指标；公共建筑说明项目容积率）</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2合理开发利用地下空间。</w:t>
      </w:r>
    </w:p>
    <w:p>
      <w:pPr>
        <w:spacing w:line="240" w:lineRule="exact"/>
        <w:rPr>
          <w:rFonts w:ascii="宋体"/>
          <w:sz w:val="18"/>
          <w:szCs w:val="18"/>
        </w:rPr>
      </w:pPr>
      <w:r>
        <w:rPr>
          <w:rFonts w:hint="eastAsia" w:ascii="宋体" w:hAnsi="宋体" w:cs="宋体"/>
          <w:sz w:val="18"/>
          <w:szCs w:val="18"/>
        </w:rPr>
        <w:t>技术措施说明：（说明地下空间开发利用情况）</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□地下空间利用计算书；□</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3采用机械式停车设施、地下停车库或地面停车楼等方式。</w:t>
      </w:r>
    </w:p>
    <w:p>
      <w:pPr>
        <w:spacing w:line="240" w:lineRule="exact"/>
        <w:rPr>
          <w:rFonts w:ascii="宋体"/>
          <w:sz w:val="18"/>
          <w:szCs w:val="18"/>
        </w:rPr>
      </w:pPr>
      <w:r>
        <w:rPr>
          <w:rFonts w:hint="eastAsia" w:ascii="宋体" w:hAnsi="宋体" w:cs="宋体"/>
          <w:sz w:val="18"/>
          <w:szCs w:val="18"/>
        </w:rPr>
        <w:t>技术措施说明：（说明项目停车方式及建设情况）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4优化建筑围护结构的热工性能。</w:t>
      </w:r>
    </w:p>
    <w:p>
      <w:pPr>
        <w:spacing w:line="240" w:lineRule="exact"/>
        <w:rPr>
          <w:rFonts w:ascii="宋体"/>
          <w:sz w:val="18"/>
          <w:szCs w:val="18"/>
        </w:rPr>
      </w:pPr>
      <w:r>
        <w:rPr>
          <w:rFonts w:hint="eastAsia" w:ascii="宋体" w:hAnsi="宋体" w:cs="宋体"/>
          <w:sz w:val="18"/>
          <w:szCs w:val="18"/>
        </w:rPr>
        <w:t>技术措施说明：（说明围护结构热工性能指标）</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□节能计算书；□</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8采用措施降低建筑能耗。</w:t>
      </w:r>
    </w:p>
    <w:p>
      <w:pPr>
        <w:spacing w:line="240" w:lineRule="exact"/>
        <w:rPr>
          <w:rFonts w:ascii="宋体"/>
          <w:sz w:val="18"/>
          <w:szCs w:val="18"/>
        </w:rPr>
      </w:pPr>
      <w:r>
        <w:rPr>
          <w:rFonts w:hint="eastAsia" w:ascii="宋体" w:hAnsi="宋体" w:cs="宋体"/>
          <w:sz w:val="18"/>
          <w:szCs w:val="18"/>
        </w:rPr>
        <w:t>技术措施说明：（说明设计阶段的建筑能耗模拟计算结果）</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□建筑</w:t>
      </w:r>
      <w:r>
        <w:rPr>
          <w:rFonts w:hint="eastAsia" w:ascii="宋体" w:hAnsi="宋体" w:cs="宋体"/>
          <w:sz w:val="18"/>
          <w:szCs w:val="18"/>
        </w:rPr>
        <w:t>暖通空调与照明能耗模拟计算报告；□设计图纸（专业、图号）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14建筑所有区域实施土建工程与装修工程一体化设计及施工。</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sz w:val="18"/>
          <w:szCs w:val="18"/>
        </w:rPr>
        <w:t>技术措施说明：（说明土建和装修一体化的</w:t>
      </w:r>
      <w:r>
        <w:rPr>
          <w:rFonts w:hint="eastAsia" w:ascii="宋体" w:hAnsi="宋体" w:cs="宋体"/>
          <w:color w:val="000000" w:themeColor="text1"/>
          <w:sz w:val="18"/>
          <w:szCs w:val="18"/>
          <w14:textFill>
            <w14:solidFill>
              <w14:schemeClr w14:val="tx1"/>
            </w14:solidFill>
          </w14:textFill>
        </w:rPr>
        <w:t>设计、施工情况）</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sym w:font="Wingdings 2" w:char="00A3"/>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s="宋体"/>
          <w:sz w:val="18"/>
          <w:szCs w:val="18"/>
        </w:rPr>
        <w:t>；</w:t>
      </w:r>
      <w:r>
        <w:rPr>
          <w:rFonts w:hint="eastAsia" w:ascii="宋体" w:hAnsi="宋体"/>
          <w:sz w:val="18"/>
          <w:szCs w:val="18"/>
        </w:rPr>
        <w:t>□</w:t>
      </w:r>
      <w:r>
        <w:rPr>
          <w:rFonts w:hint="eastAsia" w:ascii="宋体" w:hAnsi="宋体" w:cs="宋体"/>
          <w:sz w:val="18"/>
          <w:szCs w:val="18"/>
        </w:rPr>
        <w:t>二次设计达标承诺函</w:t>
      </w:r>
    </w:p>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7.2.</w:t>
      </w:r>
      <w:r>
        <w:rPr>
          <w:rFonts w:hint="eastAsia" w:ascii="黑体" w:hAnsi="宋体" w:eastAsia="黑体" w:cs="黑体"/>
          <w:color w:val="000000" w:themeColor="text1"/>
          <w:sz w:val="18"/>
          <w:szCs w:val="18"/>
          <w14:textFill>
            <w14:solidFill>
              <w14:schemeClr w14:val="tx1"/>
            </w14:solidFill>
          </w14:textFill>
        </w:rPr>
        <w:t>16建筑装修选用工业化内装部品。</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技术措施说明：（说明项目装修采用工业化内装部品的情况）</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工业化内装部品用量比例计算</w:t>
      </w:r>
      <w:r>
        <w:rPr>
          <w:rFonts w:hint="eastAsia" w:cs="宋体"/>
          <w:color w:val="000000" w:themeColor="text1"/>
          <w:sz w:val="18"/>
          <w:szCs w:val="18"/>
          <w14:textFill>
            <w14:solidFill>
              <w14:schemeClr w14:val="tx1"/>
            </w14:solidFill>
          </w14:textFill>
        </w:rPr>
        <w:t>报告</w:t>
      </w:r>
      <w:r>
        <w:rPr>
          <w:rFonts w:hint="eastAsia" w:ascii="宋体" w:hAnsi="宋体" w:cs="宋体"/>
          <w:color w:val="000000" w:themeColor="text1"/>
          <w:sz w:val="18"/>
          <w:szCs w:val="18"/>
          <w14:textFill>
            <w14:solidFill>
              <w14:schemeClr w14:val="tx1"/>
            </w14:solidFill>
          </w14:textFill>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17选用可再循环材料、可再利用材料及利废建材。</w:t>
      </w:r>
    </w:p>
    <w:p>
      <w:pPr>
        <w:spacing w:line="240" w:lineRule="exact"/>
        <w:rPr>
          <w:rFonts w:ascii="宋体"/>
          <w:sz w:val="18"/>
          <w:szCs w:val="18"/>
        </w:rPr>
      </w:pPr>
      <w:r>
        <w:rPr>
          <w:rFonts w:hint="eastAsia" w:ascii="宋体" w:hAnsi="宋体" w:cs="宋体"/>
          <w:sz w:val="18"/>
          <w:szCs w:val="18"/>
        </w:rPr>
        <w:t>技术措施说明：（说明可再循环材料和可再利用材料、利废建材的使用情况）</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可再循环和可再利用材料用量计算报告；□利废建材使用量计算报告；□设计图纸（专业、图号）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18选用绿色建材。</w:t>
      </w:r>
    </w:p>
    <w:p>
      <w:pPr>
        <w:spacing w:line="240" w:lineRule="exact"/>
        <w:rPr>
          <w:rFonts w:ascii="宋体"/>
          <w:sz w:val="18"/>
          <w:szCs w:val="18"/>
        </w:rPr>
      </w:pPr>
      <w:r>
        <w:rPr>
          <w:rFonts w:hint="eastAsia" w:ascii="宋体" w:hAnsi="宋体" w:cs="宋体"/>
          <w:sz w:val="18"/>
          <w:szCs w:val="18"/>
        </w:rPr>
        <w:t>技术措施说明：（说明本项目绿色建材的应用情况）</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绿色建材应用比例计算报告；□设计图纸（专业、图号）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结构专业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15合理选用建筑结构材料与构件。</w:t>
      </w:r>
    </w:p>
    <w:p>
      <w:pPr>
        <w:spacing w:line="240" w:lineRule="exact"/>
        <w:rPr>
          <w:rFonts w:ascii="宋体"/>
          <w:sz w:val="18"/>
          <w:szCs w:val="18"/>
        </w:rPr>
      </w:pPr>
      <w:r>
        <w:rPr>
          <w:rFonts w:hint="eastAsia" w:ascii="宋体" w:hAnsi="宋体" w:cs="宋体"/>
          <w:sz w:val="18"/>
          <w:szCs w:val="18"/>
        </w:rPr>
        <w:t>技术措施说明：（说明建筑结构材料与构件的选用情况）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高强钢筋、高强混凝土、高强钢材等材料用量比例计算报告；□设计图纸（专业、图号）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给排水专业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7</w:t>
      </w:r>
      <w:r>
        <w:rPr>
          <w:rFonts w:ascii="黑体" w:hAnsi="宋体" w:eastAsia="黑体" w:cs="黑体"/>
          <w:sz w:val="18"/>
          <w:szCs w:val="18"/>
        </w:rPr>
        <w:t>-</w:t>
      </w:r>
      <w:r>
        <w:rPr>
          <w:rFonts w:hint="eastAsia" w:ascii="黑体" w:hAnsi="宋体" w:eastAsia="黑体" w:cs="黑体"/>
          <w:sz w:val="18"/>
          <w:szCs w:val="18"/>
        </w:rPr>
        <w:t>3采用节能型电气设备及节能控制措施。</w:t>
      </w:r>
    </w:p>
    <w:p>
      <w:pPr>
        <w:spacing w:line="240" w:lineRule="exact"/>
        <w:rPr>
          <w:rFonts w:ascii="宋体"/>
          <w:sz w:val="18"/>
          <w:szCs w:val="18"/>
        </w:rPr>
      </w:pPr>
      <w:r>
        <w:rPr>
          <w:rFonts w:hint="eastAsia" w:ascii="宋体" w:hAnsi="宋体" w:cs="宋体"/>
          <w:sz w:val="18"/>
          <w:szCs w:val="18"/>
        </w:rPr>
        <w:t>技术措施说明：（说明设计选用水泵的能效等级）</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9结合当地气候和自然资源条件合理利用可再生能源。</w:t>
      </w:r>
    </w:p>
    <w:p>
      <w:pPr>
        <w:spacing w:line="240" w:lineRule="exact"/>
        <w:rPr>
          <w:rFonts w:ascii="宋体"/>
          <w:sz w:val="18"/>
          <w:szCs w:val="18"/>
        </w:rPr>
      </w:pPr>
      <w:r>
        <w:rPr>
          <w:rFonts w:hint="eastAsia" w:ascii="宋体" w:hAnsi="宋体" w:cs="宋体"/>
          <w:sz w:val="18"/>
          <w:szCs w:val="18"/>
        </w:rPr>
        <w:t>技术措施说明：（说明可再生能源利用条件、应用形式、用途及用量）</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可再生能源应用计算分析报告；□设计图纸（专业、图号）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10使用较高水效等级的卫生器具。</w:t>
      </w:r>
    </w:p>
    <w:p>
      <w:pPr>
        <w:spacing w:line="240" w:lineRule="exact"/>
        <w:rPr>
          <w:rFonts w:ascii="宋体"/>
          <w:sz w:val="18"/>
          <w:szCs w:val="18"/>
        </w:rPr>
      </w:pPr>
      <w:r>
        <w:rPr>
          <w:rFonts w:hint="eastAsia" w:ascii="宋体" w:hAnsi="宋体" w:cs="宋体"/>
          <w:sz w:val="18"/>
          <w:szCs w:val="18"/>
        </w:rPr>
        <w:t>技术措施说明：（说明卫生器具的水效等级及对应的具体参数、采用比例等）</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13使用非传统水源。</w:t>
      </w:r>
    </w:p>
    <w:p>
      <w:pPr>
        <w:spacing w:line="240" w:lineRule="exact"/>
        <w:rPr>
          <w:rFonts w:ascii="宋体"/>
          <w:sz w:val="18"/>
          <w:szCs w:val="18"/>
        </w:rPr>
      </w:pPr>
      <w:r>
        <w:rPr>
          <w:rFonts w:hint="eastAsia" w:ascii="宋体" w:hAnsi="宋体" w:cs="宋体"/>
          <w:sz w:val="18"/>
          <w:szCs w:val="18"/>
        </w:rPr>
        <w:t>技术措施说明：（具体说明非传统水源的利用情况、用量及其所占比例）</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非传统水源利用率计算报告；□设计图纸（专业、图号）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暖通专业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5供暖空调系统的冷、热源机组能效均优于现行国家标准《公共建筑节能设计标准》GB 50189的规定以及现行有关国家标准能效限定值的要求。</w:t>
      </w:r>
    </w:p>
    <w:p>
      <w:pPr>
        <w:spacing w:line="240" w:lineRule="exact"/>
        <w:rPr>
          <w:rFonts w:ascii="宋体"/>
          <w:sz w:val="18"/>
          <w:szCs w:val="18"/>
        </w:rPr>
      </w:pPr>
      <w:r>
        <w:rPr>
          <w:rFonts w:hint="eastAsia" w:ascii="宋体" w:hAnsi="宋体" w:cs="宋体"/>
          <w:sz w:val="18"/>
          <w:szCs w:val="18"/>
        </w:rPr>
        <w:t>技术措施说明：（说明供暖空调系统的冷、热源机组类型、能效等级）</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6采取有效措施降低供暖空调系统的末端系统及输配系统的能耗。</w:t>
      </w:r>
    </w:p>
    <w:p>
      <w:pPr>
        <w:spacing w:line="240" w:lineRule="exact"/>
        <w:rPr>
          <w:rFonts w:ascii="宋体"/>
          <w:sz w:val="18"/>
          <w:szCs w:val="18"/>
        </w:rPr>
      </w:pPr>
      <w:r>
        <w:rPr>
          <w:rFonts w:hint="eastAsia" w:ascii="宋体" w:hAnsi="宋体" w:cs="宋体"/>
          <w:sz w:val="18"/>
          <w:szCs w:val="18"/>
        </w:rPr>
        <w:t>技术措施说明：（说明降低供暖空调系统末端系统及输配系统能耗的具体措施）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风机单位风量耗功率计算报告；□空调冷热水系统耗电输冷（热）比计算报告；□集中供暖系统热水循环泵的耗电输热比计算报告；□设计图纸（专业、图号）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7</w:t>
      </w:r>
      <w:r>
        <w:rPr>
          <w:rFonts w:ascii="黑体" w:hAnsi="宋体" w:eastAsia="黑体" w:cs="黑体"/>
          <w:sz w:val="18"/>
          <w:szCs w:val="18"/>
        </w:rPr>
        <w:t>-</w:t>
      </w:r>
      <w:r>
        <w:rPr>
          <w:rFonts w:hint="eastAsia" w:ascii="黑体" w:hAnsi="宋体" w:eastAsia="黑体" w:cs="黑体"/>
          <w:sz w:val="18"/>
          <w:szCs w:val="18"/>
        </w:rPr>
        <w:t>3采用节能型电气设备及节能控制措施。</w:t>
      </w:r>
    </w:p>
    <w:p>
      <w:pPr>
        <w:spacing w:line="240" w:lineRule="exact"/>
        <w:rPr>
          <w:rFonts w:ascii="宋体"/>
          <w:sz w:val="18"/>
          <w:szCs w:val="18"/>
        </w:rPr>
      </w:pPr>
      <w:r>
        <w:rPr>
          <w:rFonts w:hint="eastAsia" w:ascii="宋体" w:hAnsi="宋体" w:cs="宋体"/>
          <w:sz w:val="18"/>
          <w:szCs w:val="18"/>
        </w:rPr>
        <w:t>技术措施说明：（说明设计选用水泵、风机（及其电机）的能效等级）</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9结合当地气候和自然资源条件合理利用可再生能源。</w:t>
      </w:r>
    </w:p>
    <w:p>
      <w:pPr>
        <w:spacing w:line="240" w:lineRule="exact"/>
        <w:rPr>
          <w:rFonts w:ascii="宋体"/>
          <w:sz w:val="18"/>
          <w:szCs w:val="18"/>
        </w:rPr>
      </w:pPr>
      <w:r>
        <w:rPr>
          <w:rFonts w:hint="eastAsia" w:ascii="宋体" w:hAnsi="宋体" w:cs="宋体"/>
          <w:sz w:val="18"/>
          <w:szCs w:val="18"/>
        </w:rPr>
        <w:t>技术措施说明：（说明可再生能源利用条件、应用形式、用途及用量、比例等）</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可再生能源利用率计算分析报告；□设计图纸（专业、图号）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11</w:t>
      </w:r>
      <w:r>
        <w:rPr>
          <w:rFonts w:ascii="黑体" w:hAnsi="宋体" w:eastAsia="黑体" w:cs="黑体"/>
          <w:sz w:val="18"/>
          <w:szCs w:val="18"/>
        </w:rPr>
        <w:t>-2</w:t>
      </w:r>
      <w:r>
        <w:rPr>
          <w:rFonts w:hint="eastAsia" w:ascii="黑体" w:hAnsi="宋体" w:eastAsia="黑体" w:cs="黑体"/>
          <w:sz w:val="18"/>
          <w:szCs w:val="18"/>
        </w:rPr>
        <w:t>绿化灌溉及空调冷却水系统采用节水设备或技术。</w:t>
      </w:r>
    </w:p>
    <w:p>
      <w:pPr>
        <w:spacing w:line="240" w:lineRule="exact"/>
        <w:rPr>
          <w:rFonts w:ascii="宋体"/>
          <w:sz w:val="18"/>
          <w:szCs w:val="18"/>
        </w:rPr>
      </w:pPr>
      <w:r>
        <w:rPr>
          <w:rFonts w:hint="eastAsia" w:ascii="宋体" w:hAnsi="宋体" w:cs="宋体"/>
          <w:sz w:val="18"/>
          <w:szCs w:val="18"/>
        </w:rPr>
        <w:t>技术措施说明：（说明循环冷却系统采用的节水技术和水质处理措施）</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电气专业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7采用节能型电气设备及节能控制措施。</w:t>
      </w:r>
    </w:p>
    <w:p>
      <w:pPr>
        <w:spacing w:line="240" w:lineRule="exact"/>
        <w:rPr>
          <w:rFonts w:ascii="宋体"/>
          <w:sz w:val="18"/>
          <w:szCs w:val="18"/>
        </w:rPr>
      </w:pPr>
      <w:r>
        <w:rPr>
          <w:rFonts w:hint="eastAsia" w:ascii="宋体" w:hAnsi="宋体" w:cs="宋体"/>
          <w:sz w:val="18"/>
          <w:szCs w:val="18"/>
        </w:rPr>
        <w:t>技术措施说明：（说明各主要功能房间的照明功率密度及采光区域的照明节能控制措施；说明照明产品、电力变压器能效等级）</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9结合当地气候和自然资源条件合理利用可再生能源。</w:t>
      </w:r>
    </w:p>
    <w:p>
      <w:pPr>
        <w:spacing w:line="240" w:lineRule="exact"/>
        <w:rPr>
          <w:rFonts w:ascii="宋体"/>
          <w:sz w:val="18"/>
          <w:szCs w:val="18"/>
        </w:rPr>
      </w:pPr>
      <w:r>
        <w:rPr>
          <w:rFonts w:hint="eastAsia" w:ascii="宋体" w:hAnsi="宋体" w:cs="宋体"/>
          <w:sz w:val="18"/>
          <w:szCs w:val="18"/>
        </w:rPr>
        <w:t>技术措施说明：（说明可再生能源利用条件、应用形式、安装位置、用途及用量）</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可再生能源利用率计算分析报告；□设计图纸（专业、图号）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景观专业</w:t>
      </w:r>
    </w:p>
    <w:p>
      <w:pPr>
        <w:spacing w:line="240" w:lineRule="exact"/>
        <w:rPr>
          <w:rFonts w:ascii="黑体" w:hAnsi="宋体" w:eastAsia="黑体"/>
          <w:sz w:val="18"/>
          <w:szCs w:val="18"/>
        </w:rPr>
      </w:pPr>
      <w:r>
        <w:rPr>
          <w:rFonts w:ascii="黑体" w:hAnsi="宋体" w:eastAsia="黑体" w:cs="黑体"/>
          <w:sz w:val="18"/>
          <w:szCs w:val="18"/>
        </w:rPr>
        <w:t>7.2.</w:t>
      </w:r>
      <w:r>
        <w:rPr>
          <w:rFonts w:hint="eastAsia" w:ascii="黑体" w:hAnsi="宋体" w:eastAsia="黑体" w:cs="黑体"/>
          <w:sz w:val="18"/>
          <w:szCs w:val="18"/>
        </w:rPr>
        <w:t>11</w:t>
      </w:r>
      <w:r>
        <w:rPr>
          <w:rFonts w:ascii="黑体" w:hAnsi="宋体" w:eastAsia="黑体" w:cs="黑体"/>
          <w:sz w:val="18"/>
          <w:szCs w:val="18"/>
        </w:rPr>
        <w:t>-1</w:t>
      </w:r>
      <w:r>
        <w:rPr>
          <w:rFonts w:hint="eastAsia" w:ascii="黑体" w:hAnsi="宋体" w:eastAsia="黑体" w:cs="黑体"/>
          <w:sz w:val="18"/>
          <w:szCs w:val="18"/>
        </w:rPr>
        <w:t>绿化灌溉及空调冷却水系统采用节水设备或技术。</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sz w:val="18"/>
          <w:szCs w:val="18"/>
        </w:rPr>
        <w:t>技术措施说明：（说明项目节水灌溉方</w:t>
      </w:r>
      <w:r>
        <w:rPr>
          <w:rFonts w:hint="eastAsia" w:ascii="宋体" w:hAnsi="宋体" w:cs="宋体"/>
          <w:color w:val="000000" w:themeColor="text1"/>
          <w:sz w:val="18"/>
          <w:szCs w:val="18"/>
          <w14:textFill>
            <w14:solidFill>
              <w14:schemeClr w14:val="tx1"/>
            </w14:solidFill>
          </w14:textFill>
        </w:rPr>
        <w:t>式和节水控制措施及其应用效果，是否种植无需永久灌溉植物）</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7.2.</w:t>
      </w:r>
      <w:r>
        <w:rPr>
          <w:rFonts w:hint="eastAsia" w:ascii="黑体" w:hAnsi="宋体" w:eastAsia="黑体" w:cs="黑体"/>
          <w:color w:val="000000" w:themeColor="text1"/>
          <w:sz w:val="18"/>
          <w:szCs w:val="18"/>
          <w14:textFill>
            <w14:solidFill>
              <w14:schemeClr w14:val="tx1"/>
            </w14:solidFill>
          </w14:textFill>
        </w:rPr>
        <w:t>12结合雨水综合利用设施营造室外景观水体，室外景观水体利用雨水的补水量大于水体蒸发量的60%，且采用保障水体水质的生态水处理技术。</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技术措施说明：（说明景观水体的径流污染削减措施、水质控制措施及其实际效果）</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b/>
          <w:bCs/>
          <w:sz w:val="18"/>
          <w:szCs w:val="18"/>
        </w:rPr>
      </w:pPr>
    </w:p>
    <w:p>
      <w:pPr>
        <w:rPr>
          <w:rFonts w:ascii="黑体" w:hAnsi="黑体" w:eastAsia="黑体" w:cs="黑体"/>
          <w:b/>
          <w:bCs/>
          <w:sz w:val="24"/>
          <w:szCs w:val="24"/>
        </w:rPr>
      </w:pPr>
      <w:r>
        <w:rPr>
          <w:rFonts w:hint="eastAsia" w:ascii="黑体" w:hAnsi="黑体" w:eastAsia="黑体" w:cs="黑体"/>
          <w:b/>
          <w:bCs/>
          <w:sz w:val="24"/>
          <w:szCs w:val="24"/>
        </w:rPr>
        <w:t>5、环境宜居（</w:t>
      </w:r>
      <w:r>
        <w:rPr>
          <w:rFonts w:hint="eastAsia" w:ascii="宋体" w:hAnsi="宋体" w:eastAsia="宋体" w:cs="宋体"/>
          <w:szCs w:val="21"/>
        </w:rPr>
        <w:t>实际得分</w:t>
      </w:r>
      <w:r>
        <w:rPr>
          <w:rFonts w:hint="eastAsia" w:ascii="宋体" w:hAnsi="宋体" w:eastAsia="宋体" w:cs="宋体"/>
          <w:szCs w:val="21"/>
          <w:u w:val="single"/>
        </w:rPr>
        <w:t>　　</w:t>
      </w:r>
      <w:r>
        <w:rPr>
          <w:rFonts w:hint="eastAsia" w:ascii="宋体" w:hAnsi="宋体" w:eastAsia="宋体" w:cs="宋体"/>
          <w:szCs w:val="21"/>
        </w:rPr>
        <w:t>分</w:t>
      </w:r>
      <w:r>
        <w:rPr>
          <w:rFonts w:hint="eastAsia" w:ascii="黑体" w:hAnsi="黑体" w:eastAsia="黑体" w:cs="黑体"/>
          <w:b/>
          <w:bCs/>
          <w:sz w:val="24"/>
          <w:szCs w:val="24"/>
        </w:rPr>
        <w:t>）</w:t>
      </w:r>
    </w:p>
    <w:p>
      <w:pPr>
        <w:spacing w:line="240" w:lineRule="exact"/>
        <w:jc w:val="center"/>
        <w:rPr>
          <w:rFonts w:cs="宋体"/>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必须说明内容（控制项）</w:t>
      </w:r>
    </w:p>
    <w:p>
      <w:pPr>
        <w:spacing w:line="240" w:lineRule="exact"/>
        <w:rPr>
          <w:b/>
          <w:bCs/>
          <w:sz w:val="18"/>
          <w:szCs w:val="18"/>
        </w:rPr>
      </w:pPr>
      <w:r>
        <w:rPr>
          <w:rFonts w:hint="eastAsia"/>
          <w:b/>
          <w:bCs/>
          <w:sz w:val="18"/>
          <w:szCs w:val="18"/>
        </w:rPr>
        <w:t>规划专业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8.1.1</w:t>
      </w:r>
      <w:r>
        <w:rPr>
          <w:rFonts w:hint="eastAsia" w:ascii="黑体" w:hAnsi="宋体" w:eastAsia="黑体" w:cs="黑体"/>
          <w:sz w:val="18"/>
          <w:szCs w:val="18"/>
        </w:rPr>
        <w:t>建筑规划布局应满足日照标准，且不得降低周边建筑的日照标准。</w:t>
      </w:r>
    </w:p>
    <w:p>
      <w:pPr>
        <w:spacing w:line="240" w:lineRule="exact"/>
        <w:rPr>
          <w:rFonts w:ascii="宋体"/>
          <w:sz w:val="18"/>
          <w:szCs w:val="18"/>
        </w:rPr>
      </w:pPr>
      <w:r>
        <w:rPr>
          <w:rFonts w:hint="eastAsia" w:ascii="宋体" w:hAnsi="宋体" w:cs="宋体"/>
          <w:sz w:val="18"/>
          <w:szCs w:val="18"/>
        </w:rPr>
        <w:t>技术措施说明：（说明项目的日照分析结果，对周边建筑的日照影响）</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日照计算分析报告；□设计图纸（专业、图号）；□主管部门批复文件</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8.1.</w:t>
      </w:r>
      <w:r>
        <w:rPr>
          <w:rFonts w:hint="eastAsia" w:ascii="黑体" w:hAnsi="宋体" w:eastAsia="黑体" w:cs="黑体"/>
          <w:sz w:val="18"/>
          <w:szCs w:val="18"/>
        </w:rPr>
        <w:t>6场地内不应有排放超标的污染源。</w:t>
      </w:r>
    </w:p>
    <w:p>
      <w:pPr>
        <w:spacing w:line="240" w:lineRule="exact"/>
        <w:rPr>
          <w:rFonts w:ascii="宋体"/>
          <w:sz w:val="18"/>
          <w:szCs w:val="18"/>
        </w:rPr>
      </w:pPr>
      <w:r>
        <w:rPr>
          <w:rFonts w:hint="eastAsia" w:ascii="宋体" w:hAnsi="宋体" w:cs="宋体"/>
          <w:sz w:val="18"/>
          <w:szCs w:val="18"/>
        </w:rPr>
        <w:t>技术措施说明：（说明项目场地内的污染源及避免排放超标的控制措施）</w:t>
      </w:r>
    </w:p>
    <w:p>
      <w:pPr>
        <w:spacing w:line="240" w:lineRule="exact"/>
        <w:rPr>
          <w:rFonts w:ascii="黑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环境影响登记表（如有）；□设计图纸（专业、图号）</w:t>
      </w:r>
    </w:p>
    <w:p/>
    <w:p>
      <w:pPr>
        <w:spacing w:line="240" w:lineRule="exact"/>
        <w:rPr>
          <w:b/>
          <w:bCs/>
          <w:sz w:val="18"/>
          <w:szCs w:val="18"/>
        </w:rPr>
      </w:pPr>
      <w:r>
        <w:rPr>
          <w:rFonts w:hint="eastAsia"/>
          <w:b/>
          <w:bCs/>
          <w:sz w:val="18"/>
          <w:szCs w:val="18"/>
        </w:rPr>
        <w:t>建筑专业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sz w:val="18"/>
          <w:szCs w:val="18"/>
        </w:rPr>
        <w:t>8.1.</w:t>
      </w:r>
      <w:r>
        <w:rPr>
          <w:rFonts w:hint="eastAsia" w:ascii="黑体" w:hAnsi="宋体" w:eastAsia="黑体" w:cs="黑体"/>
          <w:sz w:val="18"/>
          <w:szCs w:val="18"/>
        </w:rPr>
        <w:t>5建筑内外均应设置便于识别</w:t>
      </w:r>
      <w:r>
        <w:rPr>
          <w:rFonts w:hint="eastAsia" w:ascii="黑体" w:hAnsi="宋体" w:eastAsia="黑体" w:cs="黑体"/>
          <w:color w:val="000000" w:themeColor="text1"/>
          <w:sz w:val="18"/>
          <w:szCs w:val="18"/>
          <w14:textFill>
            <w14:solidFill>
              <w14:schemeClr w14:val="tx1"/>
            </w14:solidFill>
          </w14:textFill>
        </w:rPr>
        <w:t>和使用的标识系统。</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技术措施说明：（说明标识系统的类型、位置和使用效果）</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hAnsi="黑体" w:eastAsia="黑体"/>
          <w:b/>
          <w:bCs/>
          <w:kern w:val="0"/>
          <w:sz w:val="18"/>
          <w:szCs w:val="18"/>
        </w:rPr>
      </w:pPr>
    </w:p>
    <w:p>
      <w:pPr>
        <w:spacing w:line="240" w:lineRule="exact"/>
        <w:rPr>
          <w:b/>
          <w:bCs/>
          <w:sz w:val="18"/>
          <w:szCs w:val="18"/>
        </w:rPr>
      </w:pPr>
      <w:r>
        <w:rPr>
          <w:rFonts w:hint="eastAsia"/>
          <w:b/>
          <w:bCs/>
          <w:sz w:val="18"/>
          <w:szCs w:val="18"/>
        </w:rPr>
        <w:t>景观专业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8.1.</w:t>
      </w:r>
      <w:r>
        <w:rPr>
          <w:rFonts w:hint="eastAsia" w:ascii="黑体" w:hAnsi="宋体" w:eastAsia="黑体" w:cs="黑体"/>
          <w:sz w:val="18"/>
          <w:szCs w:val="18"/>
        </w:rPr>
        <w:t>2室外热环境应满足国家现行有关标准的要求。</w:t>
      </w:r>
    </w:p>
    <w:p>
      <w:pPr>
        <w:spacing w:line="240" w:lineRule="exact"/>
        <w:rPr>
          <w:rFonts w:ascii="宋体"/>
          <w:sz w:val="18"/>
          <w:szCs w:val="18"/>
        </w:rPr>
      </w:pPr>
      <w:r>
        <w:rPr>
          <w:rFonts w:hint="eastAsia" w:ascii="宋体" w:hAnsi="宋体" w:cs="宋体"/>
          <w:sz w:val="18"/>
          <w:szCs w:val="18"/>
        </w:rPr>
        <w:t>技术措施说明：（说明项目降低热岛强度、提高环境舒适度的措施）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□室外</w:t>
      </w:r>
      <w:r>
        <w:rPr>
          <w:rFonts w:hint="eastAsia" w:ascii="宋体" w:hAnsi="宋体" w:cs="宋体"/>
          <w:sz w:val="18"/>
          <w:szCs w:val="18"/>
        </w:rPr>
        <w:t>场地热环境计算报告；□设计图纸（专业、图号）；</w:t>
      </w:r>
      <w:r>
        <w:rPr>
          <w:rFonts w:hint="eastAsia" w:ascii="宋体" w:hAnsi="宋体"/>
          <w:sz w:val="18"/>
          <w:szCs w:val="18"/>
        </w:rPr>
        <w:t>□</w:t>
      </w:r>
      <w:r>
        <w:rPr>
          <w:rFonts w:hint="eastAsia" w:ascii="宋体" w:hAnsi="宋体" w:cs="宋体"/>
          <w:sz w:val="18"/>
          <w:szCs w:val="18"/>
        </w:rPr>
        <w:t>二次设计达标承诺函</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color w:val="000000" w:themeColor="text1"/>
          <w:sz w:val="18"/>
          <w:szCs w:val="18"/>
          <w14:textFill>
            <w14:solidFill>
              <w14:schemeClr w14:val="tx1"/>
            </w14:solidFill>
          </w14:textFill>
        </w:rPr>
      </w:pPr>
      <w:r>
        <w:rPr>
          <w:rFonts w:ascii="黑体" w:hAnsi="宋体" w:eastAsia="黑体" w:cs="黑体"/>
          <w:sz w:val="18"/>
          <w:szCs w:val="18"/>
        </w:rPr>
        <w:t>8.1.</w:t>
      </w:r>
      <w:r>
        <w:rPr>
          <w:rFonts w:hint="eastAsia" w:ascii="黑体" w:hAnsi="宋体" w:eastAsia="黑体" w:cs="黑体"/>
          <w:sz w:val="18"/>
          <w:szCs w:val="18"/>
        </w:rPr>
        <w:t>3配建的绿地应符合所在地城乡规划的要求，应合理选择绿化方式，植物种植应适应当地气候和土壤，且应无毒害、易维护，种植区域</w:t>
      </w:r>
      <w:r>
        <w:rPr>
          <w:rFonts w:hint="eastAsia" w:ascii="黑体" w:hAnsi="宋体" w:eastAsia="黑体" w:cs="黑体"/>
          <w:color w:val="000000" w:themeColor="text1"/>
          <w:sz w:val="18"/>
          <w:szCs w:val="18"/>
          <w14:textFill>
            <w14:solidFill>
              <w14:schemeClr w14:val="tx1"/>
            </w14:solidFill>
          </w14:textFill>
        </w:rPr>
        <w:t>覆土深度和排水能力应满足植物生长需求，并应采用复层绿化方式。</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技术措施说明：（说明项目选择的绿化方式、植物类型）</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olor w:val="000000" w:themeColor="text1"/>
          <w:sz w:val="18"/>
          <w:szCs w:val="18"/>
          <w14:textFill>
            <w14:solidFill>
              <w14:schemeClr w14:val="tx1"/>
            </w14:solidFill>
          </w14:textFill>
        </w:rPr>
        <w:t>二次设计达标承诺函</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8.1.</w:t>
      </w:r>
      <w:r>
        <w:rPr>
          <w:rFonts w:hint="eastAsia" w:ascii="黑体" w:hAnsi="宋体" w:eastAsia="黑体" w:cs="黑体"/>
          <w:sz w:val="18"/>
          <w:szCs w:val="18"/>
        </w:rPr>
        <w:t>4场地的竖向设计应有利于雨水的收集或排放，应有效组织雨水的下渗、滞蓄或再利用；对大于10hm</w:t>
      </w:r>
      <w:r>
        <w:rPr>
          <w:rFonts w:hint="eastAsia" w:ascii="黑体" w:hAnsi="宋体" w:eastAsia="黑体" w:cs="黑体"/>
          <w:sz w:val="18"/>
          <w:szCs w:val="18"/>
          <w:vertAlign w:val="superscript"/>
        </w:rPr>
        <w:t>2</w:t>
      </w:r>
      <w:r>
        <w:rPr>
          <w:rFonts w:hint="eastAsia" w:ascii="黑体" w:hAnsi="宋体" w:eastAsia="黑体" w:cs="黑体"/>
          <w:sz w:val="18"/>
          <w:szCs w:val="18"/>
        </w:rPr>
        <w:t>的场地应进行雨水控制利用专项设计。</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sz w:val="18"/>
          <w:szCs w:val="18"/>
        </w:rPr>
        <w:t>技术措施说</w:t>
      </w:r>
      <w:r>
        <w:rPr>
          <w:rFonts w:hint="eastAsia" w:ascii="宋体" w:hAnsi="宋体" w:cs="宋体"/>
          <w:color w:val="000000" w:themeColor="text1"/>
          <w:sz w:val="18"/>
          <w:szCs w:val="18"/>
          <w14:textFill>
            <w14:solidFill>
              <w14:schemeClr w14:val="tx1"/>
            </w14:solidFill>
          </w14:textFill>
        </w:rPr>
        <w:t>明：（说明项目竖向雨水设计情况）</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年径流量控制率计算书/</w:t>
      </w:r>
      <w:r>
        <w:rPr>
          <w:rFonts w:hint="eastAsia" w:ascii="宋体" w:hAnsi="宋体"/>
          <w:color w:val="000000" w:themeColor="text1"/>
          <w:sz w:val="18"/>
          <w:szCs w:val="18"/>
          <w14:textFill>
            <w14:solidFill>
              <w14:schemeClr w14:val="tx1"/>
            </w14:solidFill>
          </w14:textFill>
        </w:rPr>
        <w:t>海绵城市设计说明专篇</w:t>
      </w:r>
      <w:r>
        <w:rPr>
          <w:rFonts w:hint="eastAsia" w:ascii="宋体" w:hAnsi="宋体" w:cs="宋体"/>
          <w:color w:val="000000" w:themeColor="text1"/>
          <w:sz w:val="18"/>
          <w:szCs w:val="18"/>
          <w14:textFill>
            <w14:solidFill>
              <w14:schemeClr w14:val="tx1"/>
            </w14:solidFill>
          </w14:textFill>
        </w:rPr>
        <w:t xml:space="preserve">；□设计图纸（专业、图号）； </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kern w:val="0"/>
                <w:sz w:val="18"/>
                <w:szCs w:val="18"/>
              </w:rPr>
            </w:pPr>
            <w:r>
              <w:rPr>
                <w:rFonts w:hint="eastAsia" w:ascii="黑体" w:hAnsi="宋体" w:eastAsia="黑体" w:cs="黑体"/>
                <w:kern w:val="0"/>
                <w:sz w:val="18"/>
                <w:szCs w:val="18"/>
              </w:rPr>
              <w:t>√</w:t>
            </w:r>
          </w:p>
        </w:tc>
      </w:tr>
    </w:tbl>
    <w:p>
      <w:pPr>
        <w:spacing w:line="240" w:lineRule="exact"/>
        <w:rPr>
          <w:rFonts w:ascii="黑体" w:hAnsi="宋体" w:eastAsia="黑体"/>
          <w:sz w:val="18"/>
          <w:szCs w:val="18"/>
        </w:rPr>
      </w:pPr>
      <w:r>
        <w:rPr>
          <w:rFonts w:ascii="黑体" w:hAnsi="宋体" w:eastAsia="黑体" w:cs="黑体"/>
          <w:sz w:val="18"/>
          <w:szCs w:val="18"/>
        </w:rPr>
        <w:t>8.1.</w:t>
      </w:r>
      <w:r>
        <w:rPr>
          <w:rFonts w:hint="eastAsia" w:ascii="黑体" w:hAnsi="宋体" w:eastAsia="黑体" w:cs="黑体"/>
          <w:sz w:val="18"/>
          <w:szCs w:val="18"/>
        </w:rPr>
        <w:t>7</w:t>
      </w:r>
      <w:bookmarkStart w:id="4" w:name="OLE_LINK38"/>
      <w:r>
        <w:rPr>
          <w:rFonts w:hint="eastAsia" w:ascii="黑体" w:hAnsi="宋体" w:eastAsia="黑体" w:cs="黑体"/>
          <w:sz w:val="18"/>
          <w:szCs w:val="18"/>
        </w:rPr>
        <w:t>生活垃圾应分类收集，垃圾容器和收集点的设置应合理并应与周围景观协调。</w:t>
      </w:r>
      <w:bookmarkEnd w:id="4"/>
    </w:p>
    <w:p>
      <w:pPr>
        <w:spacing w:line="240" w:lineRule="exact"/>
        <w:rPr>
          <w:rFonts w:ascii="宋体"/>
          <w:sz w:val="18"/>
          <w:szCs w:val="18"/>
        </w:rPr>
      </w:pPr>
      <w:r>
        <w:rPr>
          <w:rFonts w:hint="eastAsia" w:ascii="宋体" w:hAnsi="宋体" w:cs="宋体"/>
          <w:sz w:val="18"/>
          <w:szCs w:val="18"/>
        </w:rPr>
        <w:t>技术措施说明：（说明垃圾收集设施的布置情况，说明项目垃圾管理制度的相关内容）</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w:t>
      </w:r>
      <w:r>
        <w:rPr>
          <w:rFonts w:hint="eastAsia" w:ascii="宋体" w:hAnsi="宋体" w:cs="宋体"/>
          <w:color w:val="000000" w:themeColor="text1"/>
          <w:sz w:val="18"/>
          <w:szCs w:val="18"/>
          <w14:textFill>
            <w14:solidFill>
              <w14:schemeClr w14:val="tx1"/>
            </w14:solidFill>
          </w14:textFill>
        </w:rPr>
        <w:t>图号）；□</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cs="宋体"/>
          <w:b/>
          <w:bCs/>
          <w:sz w:val="18"/>
          <w:szCs w:val="18"/>
        </w:rPr>
      </w:pPr>
    </w:p>
    <w:p>
      <w:pPr>
        <w:spacing w:line="240" w:lineRule="exact"/>
        <w:rPr>
          <w:rFonts w:ascii="宋体" w:hAnsi="宋体" w:cs="宋体"/>
          <w:sz w:val="18"/>
          <w:szCs w:val="18"/>
        </w:rPr>
      </w:pPr>
      <w:r>
        <w:rPr>
          <w:rFonts w:hint="eastAsia" w:cs="宋体"/>
          <w:b/>
          <w:bCs/>
          <w:sz w:val="18"/>
          <w:szCs w:val="18"/>
        </w:rPr>
        <w:t>全专业</w:t>
      </w:r>
    </w:p>
    <w:tbl>
      <w:tblPr>
        <w:tblStyle w:val="9"/>
        <w:tblpPr w:leftFromText="180" w:rightFromText="180" w:vertAnchor="text" w:tblpY="1"/>
        <w:tblOverlap w:val="never"/>
        <w:tblW w:w="7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exact"/>
        </w:trPr>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c>
          <w:tcPr>
            <w:tcW w:w="397" w:type="dxa"/>
            <w:tcBorders>
              <w:top w:val="single" w:color="000000" w:sz="4" w:space="0"/>
              <w:left w:val="single" w:color="000000" w:sz="4" w:space="0"/>
              <w:bottom w:val="single" w:color="000000" w:sz="4" w:space="0"/>
              <w:right w:val="single" w:color="000000" w:sz="4" w:space="0"/>
            </w:tcBorders>
            <w:tcMar>
              <w:left w:w="0" w:type="dxa"/>
              <w:right w:w="0" w:type="dxa"/>
            </w:tcMar>
          </w:tcPr>
          <w:p>
            <w:pPr>
              <w:spacing w:line="240" w:lineRule="exact"/>
              <w:jc w:val="center"/>
              <w:rPr>
                <w:rFonts w:ascii="黑体" w:hAnsi="宋体" w:eastAsia="黑体" w:cs="黑体"/>
                <w:sz w:val="18"/>
                <w:szCs w:val="18"/>
              </w:rPr>
            </w:pPr>
            <w:r>
              <w:rPr>
                <w:rFonts w:hint="eastAsia" w:ascii="黑体" w:hAnsi="宋体" w:eastAsia="黑体" w:cs="黑体"/>
                <w:sz w:val="18"/>
                <w:szCs w:val="18"/>
              </w:rPr>
              <w:t>√</w:t>
            </w:r>
          </w:p>
        </w:tc>
      </w:tr>
    </w:tbl>
    <w:p>
      <w:pPr>
        <w:spacing w:line="240" w:lineRule="exact"/>
        <w:rPr>
          <w:rFonts w:ascii="黑体" w:eastAsia="黑体"/>
          <w:sz w:val="18"/>
          <w:szCs w:val="18"/>
        </w:rPr>
      </w:pPr>
      <w:r>
        <w:rPr>
          <w:rFonts w:hint="eastAsia" w:ascii="黑体" w:eastAsia="黑体" w:cs="黑体"/>
          <w:sz w:val="18"/>
          <w:szCs w:val="18"/>
        </w:rPr>
        <w:t>8.1.8环境宜居相关技术要求应符合现行强制性工程建设规范的规定。</w:t>
      </w:r>
    </w:p>
    <w:p>
      <w:pPr>
        <w:spacing w:line="240" w:lineRule="exact"/>
        <w:rPr>
          <w:rFonts w:ascii="黑体" w:eastAsia="黑体"/>
          <w:sz w:val="18"/>
          <w:szCs w:val="18"/>
        </w:rPr>
      </w:pPr>
      <w:r>
        <w:rPr>
          <w:rFonts w:hint="eastAsia" w:ascii="宋体" w:hAnsi="宋体" w:cs="宋体"/>
          <w:sz w:val="18"/>
          <w:szCs w:val="18"/>
        </w:rPr>
        <w:t>技术措施说明：（说明本专业适用的强制性工程建设规范的技术要求及设计情况）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自选说明内容（评分项）</w:t>
      </w:r>
    </w:p>
    <w:p>
      <w:pPr>
        <w:spacing w:line="240" w:lineRule="exact"/>
        <w:rPr>
          <w:rFonts w:ascii="黑体" w:hAnsi="宋体" w:eastAsia="黑体"/>
          <w:sz w:val="18"/>
          <w:szCs w:val="18"/>
        </w:rPr>
      </w:pP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630"/>
        <w:gridCol w:w="631"/>
        <w:gridCol w:w="631"/>
        <w:gridCol w:w="631"/>
        <w:gridCol w:w="631"/>
        <w:gridCol w:w="631"/>
        <w:gridCol w:w="685"/>
        <w:gridCol w:w="631"/>
        <w:gridCol w:w="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1</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2</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3</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4</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5</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6</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7A</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8</w:t>
            </w:r>
          </w:p>
        </w:tc>
        <w:tc>
          <w:tcPr>
            <w:tcW w:w="500" w:type="pct"/>
            <w:vAlign w:val="center"/>
          </w:tcPr>
          <w:p>
            <w:pPr>
              <w:spacing w:line="240" w:lineRule="exact"/>
              <w:jc w:val="center"/>
              <w:rPr>
                <w:rFonts w:ascii="Calibri" w:hAnsi="Calibri" w:eastAsia="宋体" w:cs="Calibri"/>
                <w:sz w:val="18"/>
                <w:szCs w:val="18"/>
              </w:rPr>
            </w:pPr>
            <w:r>
              <w:rPr>
                <w:rFonts w:ascii="Calibri" w:hAnsi="Calibri" w:eastAsia="宋体" w:cs="Calibri"/>
                <w:sz w:val="18"/>
                <w:szCs w:val="18"/>
              </w:rPr>
              <w:t>8.2.</w:t>
            </w:r>
            <w:r>
              <w:rPr>
                <w:rFonts w:hint="eastAsia" w:ascii="Calibri" w:hAnsi="Calibri" w:eastAsia="宋体" w:cs="Calibri"/>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16</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00"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c>
          <w:tcPr>
            <w:tcW w:w="500" w:type="pct"/>
            <w:vAlign w:val="center"/>
          </w:tcPr>
          <w:p>
            <w:pPr>
              <w:spacing w:line="240" w:lineRule="exact"/>
              <w:jc w:val="center"/>
              <w:rPr>
                <w:rFonts w:ascii="Calibri" w:hAnsi="Calibri" w:eastAsia="宋体" w:cs="Calibri"/>
                <w:sz w:val="18"/>
                <w:szCs w:val="18"/>
              </w:rPr>
            </w:pPr>
          </w:p>
        </w:tc>
      </w:tr>
    </w:tbl>
    <w:p>
      <w:pPr>
        <w:spacing w:line="240" w:lineRule="exact"/>
        <w:rPr>
          <w:rFonts w:ascii="黑体" w:hAnsi="宋体" w:eastAsia="黑体"/>
          <w:sz w:val="18"/>
          <w:szCs w:val="18"/>
        </w:rPr>
      </w:pPr>
    </w:p>
    <w:p>
      <w:pPr>
        <w:spacing w:line="240" w:lineRule="exact"/>
        <w:rPr>
          <w:b/>
          <w:bCs/>
          <w:sz w:val="18"/>
          <w:szCs w:val="18"/>
        </w:rPr>
      </w:pPr>
      <w:r>
        <w:rPr>
          <w:rFonts w:hint="eastAsia"/>
          <w:b/>
          <w:bCs/>
          <w:sz w:val="18"/>
          <w:szCs w:val="18"/>
        </w:rPr>
        <w:t>规划专业</w:t>
      </w:r>
    </w:p>
    <w:p>
      <w:pPr>
        <w:spacing w:line="240" w:lineRule="exact"/>
        <w:rPr>
          <w:rFonts w:eastAsia="黑体"/>
          <w:sz w:val="18"/>
          <w:szCs w:val="18"/>
        </w:rPr>
      </w:pPr>
      <w:r>
        <w:rPr>
          <w:rFonts w:ascii="黑体" w:hAnsi="宋体" w:eastAsia="黑体" w:cs="黑体"/>
          <w:sz w:val="18"/>
          <w:szCs w:val="18"/>
        </w:rPr>
        <w:t>8.2.1</w:t>
      </w:r>
      <w:r>
        <w:rPr>
          <w:rFonts w:hint="eastAsia" w:ascii="黑体" w:hAnsi="宋体" w:eastAsia="黑体" w:cs="黑体"/>
          <w:sz w:val="18"/>
          <w:szCs w:val="18"/>
        </w:rPr>
        <w:t>充分保护或修复场地生态环境，合理布局建筑及景观。</w:t>
      </w:r>
    </w:p>
    <w:p>
      <w:pPr>
        <w:spacing w:line="240" w:lineRule="exact"/>
        <w:rPr>
          <w:rFonts w:ascii="宋体"/>
          <w:sz w:val="18"/>
          <w:szCs w:val="18"/>
        </w:rPr>
      </w:pPr>
      <w:r>
        <w:rPr>
          <w:rFonts w:hint="eastAsia" w:ascii="宋体" w:hAnsi="宋体" w:cs="宋体"/>
          <w:sz w:val="18"/>
          <w:szCs w:val="18"/>
        </w:rPr>
        <w:t>技术措施说明：（说明项目保护或修复场地生态环境的具体内容）</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生态补偿方案报告；□设计图纸（专业、图号）</w:t>
      </w:r>
      <w:r>
        <w:rPr>
          <w:rFonts w:hint="eastAsia" w:ascii="宋体" w:hAnsi="宋体" w:cs="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8场地内风环境有利于室外行走、活动舒适和建筑的自然通风。</w:t>
      </w:r>
    </w:p>
    <w:p>
      <w:pPr>
        <w:spacing w:line="240" w:lineRule="exact"/>
        <w:rPr>
          <w:rFonts w:ascii="宋体"/>
          <w:sz w:val="18"/>
          <w:szCs w:val="18"/>
        </w:rPr>
      </w:pPr>
      <w:r>
        <w:rPr>
          <w:rFonts w:hint="eastAsia" w:ascii="宋体" w:hAnsi="宋体" w:cs="宋体"/>
          <w:sz w:val="18"/>
          <w:szCs w:val="18"/>
        </w:rPr>
        <w:t>技术措施说明：（说明室外风环境情况以及改善风环境的措施）</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室外风环境模拟计算分析报告；□设计图纸（专业、图号）</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3充分利用场地空间设置绿化用地。</w:t>
      </w:r>
    </w:p>
    <w:p>
      <w:pPr>
        <w:spacing w:line="240" w:lineRule="exact"/>
        <w:rPr>
          <w:rFonts w:ascii="宋体"/>
          <w:sz w:val="18"/>
          <w:szCs w:val="18"/>
        </w:rPr>
      </w:pPr>
      <w:r>
        <w:rPr>
          <w:rFonts w:hint="eastAsia" w:ascii="宋体" w:hAnsi="宋体" w:cs="宋体"/>
          <w:sz w:val="18"/>
          <w:szCs w:val="18"/>
        </w:rPr>
        <w:t>技术措施说明：（说明项目绿地设置情况）</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人均集中绿地面积计算报告；□设计图纸（专业、图号）</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6场地内的环境噪声优于现行国家标准《声环境质量标准》GB 3096的要求。</w:t>
      </w:r>
    </w:p>
    <w:p>
      <w:pPr>
        <w:spacing w:line="240" w:lineRule="exact"/>
        <w:rPr>
          <w:rFonts w:ascii="宋体"/>
          <w:sz w:val="18"/>
          <w:szCs w:val="18"/>
        </w:rPr>
      </w:pPr>
      <w:r>
        <w:rPr>
          <w:rFonts w:hint="eastAsia" w:ascii="宋体" w:hAnsi="宋体" w:cs="宋体"/>
          <w:sz w:val="18"/>
          <w:szCs w:val="18"/>
        </w:rPr>
        <w:t>技术措施说明：（说明场地周边噪声分布情况以及降噪措施）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室外环境噪声模拟分析/检测报告；□设计图纸（专业、图号）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6场地内的环境噪声优于现行国家标准《声环境质量标准》GB 3096的要求。</w:t>
      </w:r>
    </w:p>
    <w:p>
      <w:pPr>
        <w:spacing w:line="240" w:lineRule="exact"/>
        <w:rPr>
          <w:rFonts w:ascii="宋体"/>
          <w:sz w:val="18"/>
          <w:szCs w:val="18"/>
        </w:rPr>
      </w:pPr>
      <w:r>
        <w:rPr>
          <w:rFonts w:hint="eastAsia" w:ascii="宋体" w:hAnsi="宋体" w:cs="宋体"/>
          <w:sz w:val="18"/>
          <w:szCs w:val="18"/>
        </w:rPr>
        <w:t>技术措施说明：（说明场地周边噪声分布情况以及降噪措施）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室外环境噪声模拟分析/检测报告；□设计图纸（专业、图号）</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7A建筑室外照明及室外显示屏避免产生光污染。</w:t>
      </w:r>
    </w:p>
    <w:p>
      <w:pPr>
        <w:spacing w:line="240" w:lineRule="exact"/>
        <w:rPr>
          <w:rFonts w:ascii="宋体"/>
          <w:sz w:val="18"/>
          <w:szCs w:val="18"/>
        </w:rPr>
      </w:pPr>
      <w:r>
        <w:rPr>
          <w:rFonts w:hint="eastAsia" w:ascii="宋体" w:hAnsi="宋体" w:cs="宋体"/>
          <w:sz w:val="18"/>
          <w:szCs w:val="18"/>
        </w:rPr>
        <w:t>技术措施说明：（说明项目周边住宅建筑的情况以及室外显示屏的设置情况）</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给排水专业</w:t>
      </w:r>
    </w:p>
    <w:p>
      <w:pPr>
        <w:spacing w:line="240" w:lineRule="exact"/>
        <w:rPr>
          <w:rFonts w:eastAsia="黑体"/>
          <w:color w:val="000000" w:themeColor="text1"/>
          <w:sz w:val="18"/>
          <w:szCs w:val="18"/>
          <w14:textFill>
            <w14:solidFill>
              <w14:schemeClr w14:val="tx1"/>
            </w14:solidFill>
          </w14:textFill>
        </w:rPr>
      </w:pPr>
      <w:r>
        <w:rPr>
          <w:rFonts w:ascii="黑体" w:hAnsi="宋体" w:eastAsia="黑体" w:cs="黑体"/>
          <w:sz w:val="18"/>
          <w:szCs w:val="18"/>
        </w:rPr>
        <w:t>8.2.</w:t>
      </w:r>
      <w:r>
        <w:rPr>
          <w:rFonts w:hint="eastAsia" w:ascii="黑体" w:hAnsi="宋体" w:eastAsia="黑体" w:cs="黑体"/>
          <w:sz w:val="18"/>
          <w:szCs w:val="18"/>
        </w:rPr>
        <w:t>2规划场地地表和</w:t>
      </w:r>
      <w:r>
        <w:rPr>
          <w:rFonts w:hint="eastAsia" w:ascii="黑体" w:hAnsi="宋体" w:eastAsia="黑体" w:cs="黑体"/>
          <w:color w:val="000000" w:themeColor="text1"/>
          <w:sz w:val="18"/>
          <w:szCs w:val="18"/>
          <w14:textFill>
            <w14:solidFill>
              <w14:schemeClr w14:val="tx1"/>
            </w14:solidFill>
          </w14:textFill>
        </w:rPr>
        <w:t>屋面雨水径流，对场地雨水实施外排总量控制。</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技术措施说明：（说明雨水外排控制措施）</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雨水外排控制专项规划设计文件；□设计图纸（专业、图号）；□年径流量控制率计算书/</w:t>
      </w:r>
      <w:r>
        <w:rPr>
          <w:rFonts w:hint="eastAsia" w:ascii="宋体" w:hAnsi="宋体"/>
          <w:color w:val="000000" w:themeColor="text1"/>
          <w:sz w:val="18"/>
          <w:szCs w:val="18"/>
          <w14:textFill>
            <w14:solidFill>
              <w14:schemeClr w14:val="tx1"/>
            </w14:solidFill>
          </w14:textFill>
        </w:rPr>
        <w:t>海绵城市设计说明专篇</w:t>
      </w:r>
      <w:r>
        <w:rPr>
          <w:rFonts w:hint="eastAsia" w:ascii="宋体" w:hAnsi="宋体" w:cs="宋体"/>
          <w:color w:val="000000" w:themeColor="text1"/>
          <w:sz w:val="18"/>
          <w:szCs w:val="18"/>
          <w14:textFill>
            <w14:solidFill>
              <w14:schemeClr w14:val="tx1"/>
            </w14:solidFill>
          </w14:textFill>
        </w:rPr>
        <w:t xml:space="preserve">； </w:t>
      </w:r>
    </w:p>
    <w:p>
      <w:pPr>
        <w:spacing w:line="240" w:lineRule="exact"/>
        <w:rPr>
          <w:b/>
          <w:bCs/>
          <w:sz w:val="18"/>
          <w:szCs w:val="18"/>
        </w:rPr>
      </w:pP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5利用场地空间设置绿色雨水基础设施，汇集场地径流进入设施，有效实现雨水的滞留与入渗。</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技术措施说明：（说明场地空间绿色雨水设施的设置情况）</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olor w:val="000000" w:themeColor="text1"/>
          <w:sz w:val="18"/>
          <w:szCs w:val="18"/>
          <w14:textFill>
            <w14:solidFill>
              <w14:schemeClr w14:val="tx1"/>
            </w14:solidFill>
          </w14:textFill>
        </w:rPr>
        <w:t>海绵城市设计说明专篇（含下凹式绿地、透水铺装面积比例计算）</w:t>
      </w:r>
    </w:p>
    <w:p>
      <w:pPr>
        <w:spacing w:line="240" w:lineRule="exact"/>
        <w:rPr>
          <w:b/>
          <w:bCs/>
          <w:sz w:val="18"/>
          <w:szCs w:val="18"/>
        </w:rPr>
      </w:pPr>
    </w:p>
    <w:p>
      <w:pPr>
        <w:spacing w:line="240" w:lineRule="exact"/>
        <w:rPr>
          <w:b/>
          <w:bCs/>
          <w:sz w:val="18"/>
          <w:szCs w:val="18"/>
        </w:rPr>
      </w:pPr>
    </w:p>
    <w:p>
      <w:pPr>
        <w:spacing w:line="240" w:lineRule="exact"/>
        <w:rPr>
          <w:b/>
          <w:bCs/>
          <w:sz w:val="18"/>
          <w:szCs w:val="18"/>
        </w:rPr>
      </w:pPr>
      <w:r>
        <w:rPr>
          <w:rFonts w:hint="eastAsia"/>
          <w:b/>
          <w:bCs/>
          <w:sz w:val="18"/>
          <w:szCs w:val="18"/>
        </w:rPr>
        <w:t>电气专业</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7A建筑室外照明及室外显示屏避免产生光污染。</w:t>
      </w:r>
    </w:p>
    <w:p>
      <w:pPr>
        <w:spacing w:line="240" w:lineRule="exact"/>
        <w:rPr>
          <w:rFonts w:ascii="宋体"/>
          <w:sz w:val="18"/>
          <w:szCs w:val="18"/>
        </w:rPr>
      </w:pPr>
      <w:r>
        <w:rPr>
          <w:rFonts w:hint="eastAsia" w:ascii="宋体" w:hAnsi="宋体" w:cs="宋体"/>
          <w:sz w:val="18"/>
          <w:szCs w:val="18"/>
        </w:rPr>
        <w:t>技术措施说明：（说明项目室外夜景照明的光污染控制措施）</w:t>
      </w:r>
    </w:p>
    <w:p>
      <w:pPr>
        <w:spacing w:line="240" w:lineRule="exact"/>
        <w:rPr>
          <w:rFonts w:ascii="黑体" w:hAnsi="宋体" w:eastAsia="黑体"/>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室外夜景照明光污染分析报告；□</w:t>
      </w:r>
      <w:r>
        <w:rPr>
          <w:rFonts w:hint="eastAsia" w:ascii="宋体" w:hAnsi="宋体"/>
          <w:sz w:val="18"/>
          <w:szCs w:val="18"/>
        </w:rPr>
        <w:t>建筑显示屏光污染分析报告</w:t>
      </w:r>
      <w:r>
        <w:rPr>
          <w:rFonts w:hint="eastAsia" w:ascii="宋体" w:hAnsi="宋体" w:cs="宋体"/>
          <w:sz w:val="18"/>
          <w:szCs w:val="18"/>
        </w:rPr>
        <w:t>；□设计图纸（专业、图号）</w:t>
      </w:r>
      <w:r>
        <w:rPr>
          <w:rFonts w:hint="eastAsia" w:ascii="宋体" w:hAnsi="宋体" w:cs="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b/>
          <w:bCs/>
          <w:sz w:val="18"/>
          <w:szCs w:val="18"/>
        </w:rPr>
      </w:pPr>
    </w:p>
    <w:p>
      <w:pPr>
        <w:spacing w:line="240" w:lineRule="exact"/>
        <w:rPr>
          <w:b/>
          <w:bCs/>
          <w:sz w:val="18"/>
          <w:szCs w:val="18"/>
        </w:rPr>
      </w:pPr>
      <w:r>
        <w:rPr>
          <w:rFonts w:hint="eastAsia"/>
          <w:b/>
          <w:bCs/>
          <w:sz w:val="18"/>
          <w:szCs w:val="18"/>
        </w:rPr>
        <w:t>景观专业</w:t>
      </w:r>
    </w:p>
    <w:p>
      <w:pPr>
        <w:spacing w:line="240" w:lineRule="exact"/>
        <w:rPr>
          <w:rFonts w:eastAsia="黑体"/>
          <w:sz w:val="18"/>
          <w:szCs w:val="18"/>
        </w:rPr>
      </w:pPr>
      <w:r>
        <w:rPr>
          <w:rFonts w:ascii="黑体" w:hAnsi="宋体" w:eastAsia="黑体" w:cs="黑体"/>
          <w:sz w:val="18"/>
          <w:szCs w:val="18"/>
        </w:rPr>
        <w:t>8.2.</w:t>
      </w:r>
      <w:r>
        <w:rPr>
          <w:rFonts w:hint="eastAsia" w:ascii="黑体" w:hAnsi="宋体" w:eastAsia="黑体" w:cs="黑体"/>
          <w:sz w:val="18"/>
          <w:szCs w:val="18"/>
        </w:rPr>
        <w:t>4室外吸烟区位置布局合理。</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sz w:val="18"/>
          <w:szCs w:val="18"/>
        </w:rPr>
        <w:t>技术措施说明：（说明室外吸烟区的</w:t>
      </w:r>
      <w:r>
        <w:rPr>
          <w:rFonts w:hint="eastAsia" w:ascii="宋体" w:hAnsi="宋体" w:cs="宋体"/>
          <w:color w:val="000000" w:themeColor="text1"/>
          <w:sz w:val="18"/>
          <w:szCs w:val="18"/>
          <w14:textFill>
            <w14:solidFill>
              <w14:schemeClr w14:val="tx1"/>
            </w14:solidFill>
          </w14:textFill>
        </w:rPr>
        <w:t>布置情况）</w:t>
      </w:r>
    </w:p>
    <w:p>
      <w:pPr>
        <w:spacing w:line="240" w:lineRule="exact"/>
        <w:rPr>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二次设计达标承诺函（针对吸烟区的警示标识）</w:t>
      </w:r>
    </w:p>
    <w:p>
      <w:pPr>
        <w:spacing w:line="240" w:lineRule="exact"/>
        <w:rPr>
          <w:rFonts w:eastAsia="黑体"/>
          <w:color w:val="000000" w:themeColor="text1"/>
          <w:sz w:val="18"/>
          <w:szCs w:val="18"/>
          <w14:textFill>
            <w14:solidFill>
              <w14:schemeClr w14:val="tx1"/>
            </w14:solidFill>
          </w14:textFill>
        </w:rPr>
      </w:pPr>
      <w:r>
        <w:rPr>
          <w:rFonts w:ascii="黑体" w:hAnsi="宋体" w:eastAsia="黑体" w:cs="黑体"/>
          <w:color w:val="000000" w:themeColor="text1"/>
          <w:sz w:val="18"/>
          <w:szCs w:val="18"/>
          <w14:textFill>
            <w14:solidFill>
              <w14:schemeClr w14:val="tx1"/>
            </w14:solidFill>
          </w14:textFill>
        </w:rPr>
        <w:t>8.2.</w:t>
      </w:r>
      <w:r>
        <w:rPr>
          <w:rFonts w:hint="eastAsia" w:ascii="黑体" w:hAnsi="宋体" w:eastAsia="黑体" w:cs="黑体"/>
          <w:color w:val="000000" w:themeColor="text1"/>
          <w:sz w:val="18"/>
          <w:szCs w:val="18"/>
          <w14:textFill>
            <w14:solidFill>
              <w14:schemeClr w14:val="tx1"/>
            </w14:solidFill>
          </w14:textFill>
        </w:rPr>
        <w:t>9采取措施降低热岛强度。</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技术措施说明：（说明项目降低热岛强度的具体措施）</w:t>
      </w:r>
    </w:p>
    <w:p>
      <w:pPr>
        <w:spacing w:line="240" w:lineRule="exact"/>
        <w:rPr>
          <w:rFonts w:ascii="黑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活动场地遮阴比例计算</w:t>
      </w:r>
      <w:r>
        <w:rPr>
          <w:rFonts w:hint="eastAsia" w:cs="宋体"/>
          <w:color w:val="000000" w:themeColor="text1"/>
          <w:sz w:val="18"/>
          <w:szCs w:val="18"/>
          <w14:textFill>
            <w14:solidFill>
              <w14:schemeClr w14:val="tx1"/>
            </w14:solidFill>
          </w14:textFill>
        </w:rPr>
        <w:t>报告</w:t>
      </w:r>
      <w:r>
        <w:rPr>
          <w:rFonts w:hint="eastAsia" w:ascii="宋体" w:hAnsi="宋体" w:cs="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机动车道、屋面遮阴及高反射面积比例计算</w:t>
      </w:r>
      <w:r>
        <w:rPr>
          <w:rFonts w:hint="eastAsia" w:cs="宋体"/>
          <w:color w:val="000000" w:themeColor="text1"/>
          <w:sz w:val="18"/>
          <w:szCs w:val="18"/>
          <w14:textFill>
            <w14:solidFill>
              <w14:schemeClr w14:val="tx1"/>
            </w14:solidFill>
          </w14:textFill>
        </w:rPr>
        <w:t>报告</w:t>
      </w:r>
      <w:r>
        <w:rPr>
          <w:rFonts w:hint="eastAsia" w:ascii="宋体" w:hAnsi="宋体" w:cs="宋体"/>
          <w:color w:val="000000" w:themeColor="text1"/>
          <w:sz w:val="18"/>
          <w:szCs w:val="18"/>
          <w14:textFill>
            <w14:solidFill>
              <w14:schemeClr w14:val="tx1"/>
            </w14:solidFill>
          </w14:textFill>
        </w:rPr>
        <w:t>；□设计图纸（专业、图号）；□</w:t>
      </w:r>
      <w:r>
        <w:rPr>
          <w:rFonts w:hint="eastAsia" w:ascii="宋体" w:hAnsi="宋体"/>
          <w:color w:val="000000" w:themeColor="text1"/>
          <w:sz w:val="18"/>
          <w:szCs w:val="18"/>
          <w14:textFill>
            <w14:solidFill>
              <w14:schemeClr w14:val="tx1"/>
            </w14:solidFill>
          </w14:textFill>
        </w:rPr>
        <w:t>热岛分析计算</w:t>
      </w:r>
      <w:r>
        <w:rPr>
          <w:rFonts w:hint="eastAsia" w:cs="宋体"/>
          <w:color w:val="000000" w:themeColor="text1"/>
          <w:sz w:val="18"/>
          <w:szCs w:val="18"/>
          <w14:textFill>
            <w14:solidFill>
              <w14:schemeClr w14:val="tx1"/>
            </w14:solidFill>
          </w14:textFill>
        </w:rPr>
        <w:t>报告</w:t>
      </w:r>
      <w:r>
        <w:rPr>
          <w:rFonts w:hint="eastAsia" w:ascii="宋体" w:hAnsi="宋体" w:cs="宋体"/>
          <w:color w:val="000000" w:themeColor="text1"/>
          <w:sz w:val="18"/>
          <w:szCs w:val="18"/>
          <w14:textFill>
            <w14:solidFill>
              <w14:schemeClr w14:val="tx1"/>
            </w14:solidFill>
          </w14:textFill>
        </w:rPr>
        <w:t>；</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rFonts w:cs="宋体"/>
          <w:b/>
          <w:bCs/>
          <w:sz w:val="18"/>
          <w:szCs w:val="18"/>
        </w:rPr>
      </w:pPr>
    </w:p>
    <w:p>
      <w:pPr>
        <w:rPr>
          <w:rFonts w:ascii="黑体" w:hAnsi="黑体" w:eastAsia="黑体" w:cs="黑体"/>
          <w:b/>
          <w:bCs/>
          <w:sz w:val="24"/>
          <w:szCs w:val="24"/>
        </w:rPr>
      </w:pPr>
      <w:r>
        <w:rPr>
          <w:rFonts w:hint="eastAsia" w:ascii="黑体" w:hAnsi="黑体" w:eastAsia="黑体" w:cs="黑体"/>
          <w:b/>
          <w:bCs/>
          <w:sz w:val="24"/>
          <w:szCs w:val="24"/>
        </w:rPr>
        <w:t>6、提高与创新（</w:t>
      </w:r>
      <w:r>
        <w:t>实际得分</w:t>
      </w:r>
      <w:r>
        <w:rPr>
          <w:u w:val="single"/>
        </w:rPr>
        <w:t>　　</w:t>
      </w:r>
      <w:r>
        <w:t>分</w:t>
      </w:r>
      <w:r>
        <w:rPr>
          <w:rFonts w:hint="eastAsia" w:ascii="黑体" w:hAnsi="黑体" w:eastAsia="黑体" w:cs="黑体"/>
          <w:b/>
          <w:bCs/>
          <w:sz w:val="24"/>
          <w:szCs w:val="24"/>
        </w:rPr>
        <w:t>）</w:t>
      </w:r>
    </w:p>
    <w:p>
      <w:pPr>
        <w:spacing w:line="240" w:lineRule="exact"/>
        <w:rPr>
          <w:rFonts w:hAnsi="黑体" w:eastAsia="黑体"/>
          <w:b/>
          <w:bCs/>
          <w:kern w:val="0"/>
          <w:sz w:val="18"/>
          <w:szCs w:val="18"/>
        </w:rPr>
      </w:pPr>
    </w:p>
    <w:p>
      <w:pPr>
        <w:jc w:val="center"/>
        <w:rPr>
          <w:rFonts w:asciiTheme="minorEastAsia" w:hAnsiTheme="minorEastAsia" w:cstheme="minorEastAsia"/>
          <w:b/>
          <w:bCs/>
          <w:sz w:val="18"/>
          <w:szCs w:val="18"/>
        </w:rPr>
      </w:pPr>
      <w:r>
        <w:rPr>
          <w:rFonts w:hint="eastAsia" w:asciiTheme="minorEastAsia" w:hAnsiTheme="minorEastAsia" w:cstheme="minorEastAsia"/>
          <w:b/>
          <w:bCs/>
          <w:sz w:val="18"/>
          <w:szCs w:val="18"/>
        </w:rPr>
        <w:t>自选说明内容（得分项）</w:t>
      </w:r>
    </w:p>
    <w:p>
      <w:pPr>
        <w:spacing w:line="240" w:lineRule="exact"/>
        <w:rPr>
          <w:rFonts w:hAnsi="黑体" w:eastAsia="黑体"/>
          <w:b/>
          <w:bCs/>
          <w:kern w:val="0"/>
          <w:sz w:val="18"/>
          <w:szCs w:val="18"/>
        </w:rPr>
      </w:pPr>
    </w:p>
    <w:tbl>
      <w:tblPr>
        <w:tblStyle w:val="9"/>
        <w:tblW w:w="5235"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3"/>
        <w:gridCol w:w="602"/>
        <w:gridCol w:w="710"/>
        <w:gridCol w:w="710"/>
        <w:gridCol w:w="710"/>
        <w:gridCol w:w="602"/>
        <w:gridCol w:w="602"/>
        <w:gridCol w:w="710"/>
        <w:gridCol w:w="603"/>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35"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条文</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.2.1</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.2.2</w:t>
            </w:r>
            <w:r>
              <w:rPr>
                <w:rFonts w:hint="eastAsia" w:ascii="Calibri" w:hAnsi="Calibri" w:eastAsia="宋体" w:cs="Calibri"/>
                <w:sz w:val="18"/>
                <w:szCs w:val="18"/>
              </w:rPr>
              <w:t>A</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.2.3</w:t>
            </w:r>
            <w:r>
              <w:rPr>
                <w:rFonts w:hint="eastAsia" w:ascii="Calibri" w:hAnsi="Calibri" w:eastAsia="宋体" w:cs="Calibri"/>
                <w:sz w:val="18"/>
                <w:szCs w:val="18"/>
              </w:rPr>
              <w:t>A</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.2.4</w:t>
            </w:r>
            <w:r>
              <w:rPr>
                <w:rFonts w:hint="eastAsia" w:ascii="Calibri" w:hAnsi="Calibri" w:eastAsia="宋体" w:cs="Calibri"/>
                <w:sz w:val="18"/>
                <w:szCs w:val="18"/>
              </w:rPr>
              <w:t>A</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.2.5</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.2.6</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.2.7</w:t>
            </w:r>
            <w:r>
              <w:rPr>
                <w:rFonts w:hint="eastAsia" w:ascii="Calibri" w:hAnsi="Calibri" w:eastAsia="宋体" w:cs="Calibri"/>
                <w:sz w:val="18"/>
                <w:szCs w:val="18"/>
              </w:rPr>
              <w:t>A</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.2.9</w:t>
            </w:r>
          </w:p>
        </w:tc>
        <w:tc>
          <w:tcPr>
            <w:tcW w:w="524"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9</w:t>
            </w:r>
            <w:r>
              <w:rPr>
                <w:rFonts w:ascii="Calibri" w:hAnsi="Calibri" w:eastAsia="宋体" w:cs="Calibri"/>
                <w:sz w:val="18"/>
                <w:szCs w:val="18"/>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35"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总分</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30</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30</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20</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5</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10</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15</w:t>
            </w:r>
          </w:p>
        </w:tc>
        <w:tc>
          <w:tcPr>
            <w:tcW w:w="533"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30</w:t>
            </w:r>
          </w:p>
        </w:tc>
        <w:tc>
          <w:tcPr>
            <w:tcW w:w="452"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30</w:t>
            </w:r>
          </w:p>
        </w:tc>
        <w:tc>
          <w:tcPr>
            <w:tcW w:w="524"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535" w:type="pct"/>
            <w:vAlign w:val="center"/>
          </w:tcPr>
          <w:p>
            <w:pPr>
              <w:spacing w:line="240" w:lineRule="exact"/>
              <w:jc w:val="center"/>
              <w:rPr>
                <w:rFonts w:ascii="Calibri" w:hAnsi="Calibri" w:eastAsia="宋体" w:cs="Calibri"/>
                <w:sz w:val="18"/>
                <w:szCs w:val="18"/>
              </w:rPr>
            </w:pPr>
            <w:r>
              <w:rPr>
                <w:rFonts w:hint="eastAsia" w:ascii="Calibri" w:hAnsi="Calibri" w:eastAsia="宋体" w:cs="Calibri"/>
                <w:sz w:val="18"/>
                <w:szCs w:val="18"/>
              </w:rPr>
              <w:t>得分</w:t>
            </w:r>
          </w:p>
        </w:tc>
        <w:tc>
          <w:tcPr>
            <w:tcW w:w="452" w:type="pct"/>
            <w:vAlign w:val="center"/>
          </w:tcPr>
          <w:p>
            <w:pPr>
              <w:spacing w:line="240" w:lineRule="exact"/>
              <w:jc w:val="center"/>
              <w:rPr>
                <w:rFonts w:ascii="Calibri" w:hAnsi="Calibri" w:eastAsia="宋体" w:cs="Calibri"/>
                <w:sz w:val="18"/>
                <w:szCs w:val="18"/>
              </w:rPr>
            </w:pPr>
          </w:p>
        </w:tc>
        <w:tc>
          <w:tcPr>
            <w:tcW w:w="533" w:type="pct"/>
            <w:vAlign w:val="center"/>
          </w:tcPr>
          <w:p>
            <w:pPr>
              <w:spacing w:line="240" w:lineRule="exact"/>
              <w:jc w:val="center"/>
              <w:rPr>
                <w:rFonts w:ascii="Calibri" w:hAnsi="Calibri" w:eastAsia="宋体" w:cs="Calibri"/>
                <w:sz w:val="18"/>
                <w:szCs w:val="18"/>
              </w:rPr>
            </w:pPr>
          </w:p>
        </w:tc>
        <w:tc>
          <w:tcPr>
            <w:tcW w:w="533" w:type="pct"/>
            <w:vAlign w:val="center"/>
          </w:tcPr>
          <w:p>
            <w:pPr>
              <w:spacing w:line="240" w:lineRule="exact"/>
              <w:jc w:val="center"/>
              <w:rPr>
                <w:rFonts w:ascii="Calibri" w:hAnsi="Calibri" w:eastAsia="宋体" w:cs="Calibri"/>
                <w:sz w:val="18"/>
                <w:szCs w:val="18"/>
              </w:rPr>
            </w:pPr>
          </w:p>
        </w:tc>
        <w:tc>
          <w:tcPr>
            <w:tcW w:w="533" w:type="pct"/>
            <w:vAlign w:val="center"/>
          </w:tcPr>
          <w:p>
            <w:pPr>
              <w:spacing w:line="240" w:lineRule="exact"/>
              <w:jc w:val="center"/>
              <w:rPr>
                <w:rFonts w:ascii="Calibri" w:hAnsi="Calibri" w:eastAsia="宋体" w:cs="Calibri"/>
                <w:sz w:val="18"/>
                <w:szCs w:val="18"/>
              </w:rPr>
            </w:pPr>
          </w:p>
        </w:tc>
        <w:tc>
          <w:tcPr>
            <w:tcW w:w="452" w:type="pct"/>
            <w:vAlign w:val="center"/>
          </w:tcPr>
          <w:p>
            <w:pPr>
              <w:spacing w:line="240" w:lineRule="exact"/>
              <w:jc w:val="center"/>
              <w:rPr>
                <w:rFonts w:ascii="Calibri" w:hAnsi="Calibri" w:eastAsia="宋体" w:cs="Calibri"/>
                <w:sz w:val="18"/>
                <w:szCs w:val="18"/>
              </w:rPr>
            </w:pPr>
          </w:p>
        </w:tc>
        <w:tc>
          <w:tcPr>
            <w:tcW w:w="452" w:type="pct"/>
            <w:vAlign w:val="center"/>
          </w:tcPr>
          <w:p>
            <w:pPr>
              <w:spacing w:line="240" w:lineRule="exact"/>
              <w:jc w:val="center"/>
              <w:rPr>
                <w:rFonts w:ascii="Calibri" w:hAnsi="Calibri" w:eastAsia="宋体" w:cs="Calibri"/>
                <w:sz w:val="18"/>
                <w:szCs w:val="18"/>
              </w:rPr>
            </w:pPr>
          </w:p>
        </w:tc>
        <w:tc>
          <w:tcPr>
            <w:tcW w:w="533" w:type="pct"/>
            <w:vAlign w:val="center"/>
          </w:tcPr>
          <w:p>
            <w:pPr>
              <w:spacing w:line="240" w:lineRule="exact"/>
              <w:jc w:val="center"/>
              <w:rPr>
                <w:rFonts w:ascii="Calibri" w:hAnsi="Calibri" w:eastAsia="宋体" w:cs="Calibri"/>
                <w:sz w:val="18"/>
                <w:szCs w:val="18"/>
              </w:rPr>
            </w:pPr>
          </w:p>
        </w:tc>
        <w:tc>
          <w:tcPr>
            <w:tcW w:w="452" w:type="pct"/>
            <w:vAlign w:val="center"/>
          </w:tcPr>
          <w:p>
            <w:pPr>
              <w:spacing w:line="240" w:lineRule="exact"/>
              <w:jc w:val="center"/>
              <w:rPr>
                <w:rFonts w:ascii="Calibri" w:hAnsi="Calibri" w:eastAsia="宋体" w:cs="Calibri"/>
                <w:sz w:val="18"/>
                <w:szCs w:val="18"/>
              </w:rPr>
            </w:pPr>
          </w:p>
        </w:tc>
        <w:tc>
          <w:tcPr>
            <w:tcW w:w="524" w:type="pct"/>
            <w:vAlign w:val="center"/>
          </w:tcPr>
          <w:p>
            <w:pPr>
              <w:spacing w:line="240" w:lineRule="exact"/>
              <w:jc w:val="center"/>
              <w:rPr>
                <w:rFonts w:ascii="Calibri" w:hAnsi="Calibri" w:eastAsia="宋体" w:cs="Calibri"/>
                <w:sz w:val="18"/>
                <w:szCs w:val="18"/>
              </w:rPr>
            </w:pPr>
          </w:p>
        </w:tc>
      </w:tr>
    </w:tbl>
    <w:p>
      <w:pPr>
        <w:spacing w:line="240" w:lineRule="exact"/>
        <w:ind w:firstLine="3158" w:firstLineChars="1748"/>
        <w:rPr>
          <w:b/>
          <w:bCs/>
          <w:sz w:val="18"/>
          <w:szCs w:val="18"/>
        </w:rPr>
      </w:pPr>
    </w:p>
    <w:p>
      <w:pPr>
        <w:spacing w:line="240" w:lineRule="exact"/>
        <w:rPr>
          <w:b/>
          <w:bCs/>
          <w:sz w:val="18"/>
          <w:szCs w:val="18"/>
        </w:rPr>
      </w:pPr>
      <w:r>
        <w:rPr>
          <w:rFonts w:hint="eastAsia"/>
          <w:b/>
          <w:bCs/>
          <w:sz w:val="18"/>
          <w:szCs w:val="18"/>
        </w:rPr>
        <w:t>建筑专业</w:t>
      </w:r>
    </w:p>
    <w:p>
      <w:pPr>
        <w:spacing w:line="240" w:lineRule="exact"/>
        <w:rPr>
          <w:rFonts w:ascii="黑体" w:hAnsi="宋体" w:eastAsia="黑体"/>
          <w:sz w:val="18"/>
          <w:szCs w:val="18"/>
        </w:rPr>
      </w:pPr>
      <w:r>
        <w:rPr>
          <w:rFonts w:hint="eastAsia" w:ascii="黑体" w:hAnsi="宋体" w:eastAsia="黑体"/>
          <w:sz w:val="18"/>
          <w:szCs w:val="18"/>
        </w:rPr>
        <w:t>9.2.1采取措施进一步降低建筑供暖空调系统的能耗。</w:t>
      </w:r>
    </w:p>
    <w:p>
      <w:pPr>
        <w:spacing w:line="240" w:lineRule="exact"/>
        <w:rPr>
          <w:rFonts w:ascii="宋体"/>
          <w:sz w:val="18"/>
          <w:szCs w:val="18"/>
        </w:rPr>
      </w:pPr>
      <w:r>
        <w:rPr>
          <w:rFonts w:hint="eastAsia" w:ascii="宋体" w:hAnsi="宋体" w:cs="宋体"/>
          <w:sz w:val="18"/>
          <w:szCs w:val="18"/>
        </w:rPr>
        <w:t>技术措施说明：（说明项目供暖空调能耗分析结果）</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节能计算书/供暖空调系统能耗节能率分析报告；□设计图纸（专业、图号）</w:t>
      </w:r>
    </w:p>
    <w:p>
      <w:pPr>
        <w:spacing w:line="240" w:lineRule="exact"/>
        <w:rPr>
          <w:rFonts w:ascii="黑体" w:hAnsi="宋体" w:eastAsia="黑体"/>
          <w:sz w:val="18"/>
          <w:szCs w:val="18"/>
        </w:rPr>
      </w:pPr>
      <w:r>
        <w:rPr>
          <w:rFonts w:hint="eastAsia" w:ascii="黑体" w:hAnsi="宋体" w:eastAsia="黑体"/>
          <w:sz w:val="18"/>
          <w:szCs w:val="18"/>
        </w:rPr>
        <w:t>9.2.2A因地制宜建设绿色建筑。</w:t>
      </w:r>
    </w:p>
    <w:p>
      <w:pPr>
        <w:spacing w:line="240" w:lineRule="exact"/>
        <w:rPr>
          <w:rFonts w:ascii="宋体"/>
          <w:sz w:val="18"/>
          <w:szCs w:val="18"/>
        </w:rPr>
      </w:pPr>
      <w:r>
        <w:rPr>
          <w:rFonts w:hint="eastAsia" w:ascii="宋体" w:hAnsi="宋体" w:cs="宋体"/>
          <w:sz w:val="18"/>
          <w:szCs w:val="18"/>
        </w:rPr>
        <w:t>技术措施说明：（说明项目如何因地制宜建设绿色建筑，包括采用适宜地区特色的建筑风貌设计，充分利用气候适应性和场地属性进行设计，合理利用废弃场地或充分利用旧建筑等）</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□因地制宜专项论证报告；□</w:t>
      </w:r>
      <w:r>
        <w:rPr>
          <w:rFonts w:hint="eastAsia" w:ascii="宋体" w:hAnsi="宋体" w:cs="宋体"/>
          <w:sz w:val="18"/>
          <w:szCs w:val="18"/>
        </w:rPr>
        <w:t>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结构专业</w:t>
      </w:r>
    </w:p>
    <w:p>
      <w:pPr>
        <w:spacing w:line="240" w:lineRule="exact"/>
        <w:rPr>
          <w:rFonts w:ascii="黑体" w:hAnsi="宋体" w:eastAsia="黑体"/>
          <w:sz w:val="18"/>
          <w:szCs w:val="18"/>
        </w:rPr>
      </w:pPr>
      <w:r>
        <w:rPr>
          <w:rFonts w:hint="eastAsia" w:ascii="黑体" w:hAnsi="宋体" w:eastAsia="黑体"/>
          <w:sz w:val="18"/>
          <w:szCs w:val="18"/>
        </w:rPr>
        <w:t>9.2.5采用符合工业化建造要求的结构体系与建筑构件。</w:t>
      </w:r>
    </w:p>
    <w:p>
      <w:pPr>
        <w:spacing w:line="240" w:lineRule="exact"/>
        <w:rPr>
          <w:rFonts w:ascii="宋体"/>
          <w:sz w:val="18"/>
          <w:szCs w:val="18"/>
        </w:rPr>
      </w:pPr>
      <w:r>
        <w:rPr>
          <w:rFonts w:hint="eastAsia" w:ascii="宋体" w:hAnsi="宋体" w:cs="宋体"/>
          <w:sz w:val="18"/>
          <w:szCs w:val="18"/>
        </w:rPr>
        <w:t>技术措施说明：（说明本项目选用的结构体系及实施情况）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预制构件比例计算报告；□设计图纸（专业、图号）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电气专业</w:t>
      </w:r>
    </w:p>
    <w:p>
      <w:pPr>
        <w:spacing w:line="240" w:lineRule="exact"/>
        <w:rPr>
          <w:rFonts w:ascii="黑体" w:hAnsi="宋体" w:eastAsia="黑体"/>
          <w:sz w:val="18"/>
          <w:szCs w:val="18"/>
        </w:rPr>
      </w:pPr>
      <w:r>
        <w:rPr>
          <w:rFonts w:hint="eastAsia" w:ascii="黑体" w:hAnsi="宋体" w:eastAsia="黑体"/>
          <w:sz w:val="18"/>
          <w:szCs w:val="18"/>
        </w:rPr>
        <w:t>9.2.3A采用蓄冷蓄热蓄电、建筑设备智能调节等技术实现建筑电力交互。</w:t>
      </w:r>
    </w:p>
    <w:p>
      <w:pPr>
        <w:spacing w:line="240" w:lineRule="exact"/>
        <w:rPr>
          <w:rFonts w:ascii="宋体"/>
          <w:sz w:val="18"/>
          <w:szCs w:val="18"/>
        </w:rPr>
      </w:pPr>
      <w:r>
        <w:rPr>
          <w:rFonts w:hint="eastAsia" w:ascii="宋体" w:hAnsi="宋体" w:cs="宋体"/>
          <w:sz w:val="18"/>
          <w:szCs w:val="18"/>
        </w:rPr>
        <w:t>技术措施说明：（说明项目在建筑电力交互方面的设计情况）</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建用电负荷调节比例计算报告；□设计图纸（专业、图号）</w:t>
      </w:r>
    </w:p>
    <w:p>
      <w:pPr>
        <w:spacing w:line="240" w:lineRule="exact"/>
        <w:rPr>
          <w:b/>
          <w:bCs/>
          <w:sz w:val="18"/>
          <w:szCs w:val="18"/>
        </w:rPr>
      </w:pPr>
    </w:p>
    <w:p>
      <w:pPr>
        <w:spacing w:line="240" w:lineRule="exact"/>
        <w:rPr>
          <w:b/>
          <w:bCs/>
          <w:sz w:val="18"/>
          <w:szCs w:val="18"/>
        </w:rPr>
      </w:pPr>
      <w:r>
        <w:rPr>
          <w:rFonts w:hint="eastAsia"/>
          <w:b/>
          <w:bCs/>
          <w:sz w:val="18"/>
          <w:szCs w:val="18"/>
        </w:rPr>
        <w:t>景观专业</w:t>
      </w:r>
    </w:p>
    <w:p>
      <w:pPr>
        <w:spacing w:line="240" w:lineRule="exact"/>
        <w:rPr>
          <w:rFonts w:ascii="黑体" w:hAnsi="宋体" w:eastAsia="黑体"/>
          <w:color w:val="000000" w:themeColor="text1"/>
          <w:sz w:val="18"/>
          <w:szCs w:val="18"/>
          <w14:textFill>
            <w14:solidFill>
              <w14:schemeClr w14:val="tx1"/>
            </w14:solidFill>
          </w14:textFill>
        </w:rPr>
      </w:pPr>
      <w:r>
        <w:rPr>
          <w:rFonts w:hint="eastAsia" w:ascii="黑体" w:hAnsi="宋体" w:eastAsia="黑体"/>
          <w:sz w:val="18"/>
          <w:szCs w:val="18"/>
        </w:rPr>
        <w:t>9.2.4A采取措施提升场地绿容率。</w:t>
      </w:r>
    </w:p>
    <w:p>
      <w:pPr>
        <w:spacing w:line="240" w:lineRule="exact"/>
        <w:rPr>
          <w:rFonts w:asci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技术措施说明：（说明场地绿容率的计算过程）</w:t>
      </w:r>
    </w:p>
    <w:p>
      <w:pPr>
        <w:spacing w:line="240" w:lineRule="exact"/>
        <w:rPr>
          <w:b/>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证明材料：</w:t>
      </w:r>
      <w:r>
        <w:rPr>
          <w:rFonts w:hint="eastAsia" w:ascii="宋体" w:hAnsi="宋体"/>
          <w:color w:val="000000" w:themeColor="text1"/>
          <w:sz w:val="18"/>
          <w:szCs w:val="18"/>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绿容率计算报告；□设计图纸（专业、图号）；</w:t>
      </w:r>
      <w:r>
        <w:rPr>
          <w:rFonts w:hint="eastAsia" w:ascii="宋体" w:hAnsi="宋体"/>
          <w:sz w:val="18"/>
          <w:szCs w:val="18"/>
        </w:rPr>
        <w:t>□</w:t>
      </w:r>
      <w:r>
        <w:rPr>
          <w:rFonts w:hint="eastAsia" w:ascii="宋体" w:hAnsi="宋体"/>
          <w:color w:val="000000" w:themeColor="text1"/>
          <w:sz w:val="18"/>
          <w:szCs w:val="18"/>
          <w14:textFill>
            <w14:solidFill>
              <w14:schemeClr w14:val="tx1"/>
            </w14:solidFill>
          </w14:textFill>
        </w:rPr>
        <w:t>二次设计达标承诺函</w:t>
      </w:r>
    </w:p>
    <w:p>
      <w:pPr>
        <w:spacing w:line="240" w:lineRule="exact"/>
        <w:rPr>
          <w:b/>
          <w:bCs/>
          <w:sz w:val="18"/>
          <w:szCs w:val="18"/>
        </w:rPr>
      </w:pPr>
    </w:p>
    <w:p>
      <w:pPr>
        <w:spacing w:line="240" w:lineRule="exact"/>
        <w:rPr>
          <w:b/>
          <w:bCs/>
          <w:sz w:val="18"/>
          <w:szCs w:val="18"/>
        </w:rPr>
      </w:pPr>
      <w:r>
        <w:rPr>
          <w:rFonts w:hint="eastAsia"/>
          <w:b/>
          <w:bCs/>
          <w:sz w:val="18"/>
          <w:szCs w:val="18"/>
        </w:rPr>
        <w:t>全专业</w:t>
      </w:r>
    </w:p>
    <w:p>
      <w:pPr>
        <w:spacing w:line="240" w:lineRule="exact"/>
        <w:rPr>
          <w:rFonts w:ascii="黑体" w:hAnsi="宋体" w:eastAsia="黑体"/>
          <w:sz w:val="18"/>
          <w:szCs w:val="18"/>
        </w:rPr>
      </w:pPr>
      <w:r>
        <w:rPr>
          <w:rFonts w:hint="eastAsia" w:ascii="黑体" w:hAnsi="宋体" w:eastAsia="黑体"/>
          <w:sz w:val="18"/>
          <w:szCs w:val="18"/>
        </w:rPr>
        <w:t>9.2.6应用建筑信息模拟（BIM）技术。</w:t>
      </w:r>
    </w:p>
    <w:p>
      <w:pPr>
        <w:spacing w:line="240" w:lineRule="exact"/>
        <w:rPr>
          <w:rFonts w:ascii="宋体"/>
          <w:sz w:val="18"/>
          <w:szCs w:val="18"/>
        </w:rPr>
      </w:pPr>
      <w:r>
        <w:rPr>
          <w:rFonts w:hint="eastAsia" w:ascii="宋体" w:hAnsi="宋体" w:cs="宋体"/>
          <w:sz w:val="18"/>
          <w:szCs w:val="18"/>
        </w:rPr>
        <w:t>技术措施说明：（说明BIM在设计阶段的应用情况、取得的效果）</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BIM技术应用报告；□设计图纸（专业</w:t>
      </w:r>
      <w:r>
        <w:rPr>
          <w:rFonts w:hint="eastAsia" w:ascii="宋体" w:hAnsi="宋体" w:cs="宋体"/>
          <w:color w:val="000000" w:themeColor="text1"/>
          <w:sz w:val="18"/>
          <w:szCs w:val="18"/>
          <w14:textFill>
            <w14:solidFill>
              <w14:schemeClr w14:val="tx1"/>
            </w14:solidFill>
          </w14:textFill>
        </w:rPr>
        <w:t>、图号）</w:t>
      </w:r>
    </w:p>
    <w:p>
      <w:pPr>
        <w:spacing w:line="240" w:lineRule="exact"/>
        <w:rPr>
          <w:rFonts w:ascii="黑体" w:hAnsi="宋体" w:eastAsia="黑体"/>
          <w:sz w:val="18"/>
          <w:szCs w:val="18"/>
        </w:rPr>
      </w:pPr>
      <w:r>
        <w:rPr>
          <w:rFonts w:hint="eastAsia" w:ascii="黑体" w:hAnsi="宋体" w:eastAsia="黑体"/>
          <w:sz w:val="18"/>
          <w:szCs w:val="18"/>
        </w:rPr>
        <w:t>9.2.7A采取措施降低建筑全寿命期碳排放强度。</w:t>
      </w:r>
    </w:p>
    <w:p>
      <w:pPr>
        <w:spacing w:line="240" w:lineRule="exact"/>
        <w:rPr>
          <w:rFonts w:ascii="宋体"/>
          <w:sz w:val="18"/>
          <w:szCs w:val="18"/>
        </w:rPr>
      </w:pPr>
      <w:r>
        <w:rPr>
          <w:rFonts w:hint="eastAsia" w:ascii="宋体" w:hAnsi="宋体" w:cs="宋体"/>
          <w:sz w:val="18"/>
          <w:szCs w:val="18"/>
        </w:rPr>
        <w:t>技术措施说明：（具体说明降低建筑全寿命期碳排放强度的措施）</w:t>
      </w:r>
    </w:p>
    <w:p>
      <w:pPr>
        <w:spacing w:line="240" w:lineRule="exact"/>
        <w:rPr>
          <w:rFonts w:ascii="宋体" w:hAnsi="宋体" w:cs="宋体"/>
          <w:sz w:val="18"/>
          <w:szCs w:val="18"/>
        </w:rPr>
      </w:pPr>
      <w:r>
        <w:rPr>
          <w:rFonts w:hint="eastAsia" w:ascii="宋体" w:hAnsi="宋体" w:cs="宋体"/>
          <w:sz w:val="18"/>
          <w:szCs w:val="18"/>
        </w:rPr>
        <w:t>证明材料：</w:t>
      </w:r>
      <w:r>
        <w:rPr>
          <w:rFonts w:hint="eastAsia" w:ascii="宋体" w:hAnsi="宋体"/>
          <w:sz w:val="18"/>
          <w:szCs w:val="18"/>
        </w:rPr>
        <w:t>□工程量概算清单</w:t>
      </w:r>
      <w:r>
        <w:rPr>
          <w:rFonts w:hint="eastAsia" w:ascii="宋体" w:hAnsi="宋体" w:cs="宋体"/>
          <w:sz w:val="18"/>
          <w:szCs w:val="18"/>
        </w:rPr>
        <w:t>；□</w:t>
      </w:r>
      <w:r>
        <w:rPr>
          <w:rFonts w:hint="eastAsia" w:ascii="宋体" w:hAnsi="宋体"/>
          <w:sz w:val="18"/>
          <w:szCs w:val="18"/>
        </w:rPr>
        <w:t>建筑全寿命期</w:t>
      </w:r>
      <w:r>
        <w:rPr>
          <w:rFonts w:hint="eastAsia" w:ascii="宋体" w:hAnsi="宋体" w:cs="宋体"/>
          <w:sz w:val="18"/>
          <w:szCs w:val="18"/>
        </w:rPr>
        <w:t>碳排放计算分析报告；□</w:t>
      </w:r>
      <w:r>
        <w:rPr>
          <w:rFonts w:hint="eastAsia" w:ascii="宋体" w:hAnsi="宋体"/>
          <w:sz w:val="18"/>
          <w:szCs w:val="18"/>
        </w:rPr>
        <w:t>低碳建材碳足迹报告</w:t>
      </w:r>
    </w:p>
    <w:p>
      <w:pPr>
        <w:spacing w:line="240" w:lineRule="exact"/>
        <w:rPr>
          <w:rFonts w:ascii="黑体" w:hAnsi="宋体" w:eastAsia="黑体"/>
          <w:sz w:val="18"/>
          <w:szCs w:val="18"/>
        </w:rPr>
      </w:pPr>
      <w:r>
        <w:rPr>
          <w:rFonts w:hint="eastAsia" w:ascii="黑体" w:hAnsi="宋体" w:eastAsia="黑体"/>
          <w:sz w:val="18"/>
          <w:szCs w:val="18"/>
        </w:rPr>
        <w:t>9.2.10采用节约资源、保护生态环境、降低碳排放、保障安全健康、智慧友好运行、传承历史文化等其他创新，并有明显效益。</w:t>
      </w:r>
    </w:p>
    <w:p>
      <w:pPr>
        <w:spacing w:line="240" w:lineRule="exact"/>
        <w:rPr>
          <w:rFonts w:ascii="宋体"/>
          <w:sz w:val="18"/>
          <w:szCs w:val="18"/>
        </w:rPr>
      </w:pPr>
      <w:r>
        <w:rPr>
          <w:rFonts w:hint="eastAsia" w:ascii="宋体" w:hAnsi="宋体" w:cs="宋体"/>
          <w:sz w:val="18"/>
          <w:szCs w:val="18"/>
        </w:rPr>
        <w:t>技术措施说明：（说明项目开发建设、运营维护过程中的其他创新措施及其社会和经济效益）</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创新措施的分析论文报告</w:t>
      </w:r>
    </w:p>
    <w:p>
      <w:pPr>
        <w:spacing w:line="240" w:lineRule="exact"/>
        <w:rPr>
          <w:b/>
          <w:bCs/>
          <w:sz w:val="18"/>
          <w:szCs w:val="18"/>
        </w:rPr>
      </w:pPr>
    </w:p>
    <w:p>
      <w:pPr>
        <w:spacing w:line="240" w:lineRule="exact"/>
        <w:rPr>
          <w:b/>
          <w:bCs/>
          <w:sz w:val="18"/>
          <w:szCs w:val="18"/>
        </w:rPr>
      </w:pPr>
      <w:r>
        <w:rPr>
          <w:rFonts w:hint="eastAsia"/>
          <w:b/>
          <w:bCs/>
          <w:sz w:val="18"/>
          <w:szCs w:val="18"/>
        </w:rPr>
        <w:t>其他</w:t>
      </w:r>
    </w:p>
    <w:p>
      <w:pPr>
        <w:spacing w:line="240" w:lineRule="exact"/>
        <w:rPr>
          <w:rFonts w:ascii="黑体" w:hAnsi="宋体" w:eastAsia="黑体"/>
          <w:sz w:val="18"/>
          <w:szCs w:val="18"/>
        </w:rPr>
      </w:pPr>
      <w:r>
        <w:rPr>
          <w:rFonts w:hint="eastAsia" w:ascii="黑体" w:hAnsi="宋体" w:eastAsia="黑体"/>
          <w:sz w:val="18"/>
          <w:szCs w:val="18"/>
        </w:rPr>
        <w:t>9.2.9采用建设工程质量潜在缺陷保险产品或绿色建筑性能保险产品。</w:t>
      </w:r>
    </w:p>
    <w:p>
      <w:pPr>
        <w:spacing w:line="240" w:lineRule="exact"/>
        <w:rPr>
          <w:rFonts w:ascii="宋体"/>
          <w:sz w:val="18"/>
          <w:szCs w:val="18"/>
        </w:rPr>
      </w:pPr>
      <w:r>
        <w:rPr>
          <w:rFonts w:hint="eastAsia" w:ascii="宋体" w:hAnsi="宋体" w:cs="宋体"/>
          <w:sz w:val="18"/>
          <w:szCs w:val="18"/>
        </w:rPr>
        <w:t>技术措施说明：（说明建设工程质量潜在缺陷保险、绿色建筑性能保险产品的主要条款、保费、保额）</w:t>
      </w:r>
    </w:p>
    <w:p>
      <w:pPr>
        <w:spacing w:line="240" w:lineRule="exact"/>
        <w:rPr>
          <w:b/>
          <w:bCs/>
          <w:sz w:val="18"/>
          <w:szCs w:val="18"/>
        </w:rPr>
      </w:pPr>
      <w:r>
        <w:rPr>
          <w:rFonts w:hint="eastAsia" w:ascii="宋体" w:hAnsi="宋体" w:cs="宋体"/>
          <w:sz w:val="18"/>
          <w:szCs w:val="18"/>
        </w:rPr>
        <w:t>证明材料：</w:t>
      </w:r>
      <w:r>
        <w:rPr>
          <w:rFonts w:hint="eastAsia" w:ascii="宋体" w:hAnsi="宋体"/>
          <w:sz w:val="18"/>
          <w:szCs w:val="18"/>
        </w:rPr>
        <w:t>□</w:t>
      </w:r>
      <w:r>
        <w:rPr>
          <w:rFonts w:hint="eastAsia" w:ascii="宋体" w:hAnsi="宋体" w:cs="宋体"/>
          <w:sz w:val="18"/>
          <w:szCs w:val="18"/>
        </w:rPr>
        <w:t>保险产品投保计划；□保险产品保单</w:t>
      </w:r>
    </w:p>
    <w:p>
      <w:pPr>
        <w:spacing w:line="240" w:lineRule="exact"/>
        <w:rPr>
          <w:b/>
          <w:bCs/>
          <w:sz w:val="18"/>
          <w:szCs w:val="18"/>
        </w:rPr>
      </w:pPr>
    </w:p>
    <w:p>
      <w:pPr>
        <w:spacing w:line="240" w:lineRule="exact"/>
        <w:rPr>
          <w:rFonts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hint="eastAsia" w:ascii="宋体" w:hAnsi="宋体" w:cs="宋体"/>
          <w:sz w:val="18"/>
          <w:szCs w:val="18"/>
        </w:rPr>
      </w:pPr>
    </w:p>
    <w:p>
      <w:pPr>
        <w:spacing w:line="240" w:lineRule="exact"/>
        <w:rPr>
          <w:rFonts w:ascii="宋体" w:hAnsi="宋体" w:cs="宋体"/>
          <w:sz w:val="18"/>
          <w:szCs w:val="18"/>
        </w:rPr>
      </w:pPr>
      <w:r>
        <w:rPr>
          <w:rFonts w:hint="eastAsia" w:ascii="宋体" w:hAnsi="宋体" w:cs="宋体"/>
          <w:sz w:val="18"/>
          <w:szCs w:val="18"/>
        </w:rPr>
        <w:t>备注</w:t>
      </w:r>
      <w:r>
        <w:rPr>
          <w:rFonts w:ascii="宋体" w:hAnsi="宋体" w:cs="宋体"/>
          <w:sz w:val="18"/>
          <w:szCs w:val="18"/>
        </w:rPr>
        <w:t>：</w:t>
      </w:r>
    </w:p>
    <w:p>
      <w:pPr>
        <w:spacing w:line="240" w:lineRule="exact"/>
        <w:rPr>
          <w:rFonts w:ascii="宋体" w:hAnsi="宋体" w:cs="宋体"/>
          <w:sz w:val="18"/>
          <w:szCs w:val="18"/>
        </w:rPr>
      </w:pPr>
      <w:r>
        <w:rPr>
          <w:rFonts w:hint="eastAsia" w:ascii="宋体" w:hAnsi="宋体" w:cs="宋体"/>
          <w:sz w:val="18"/>
          <w:szCs w:val="18"/>
        </w:rPr>
        <w:t>1.条文编号前的</w:t>
      </w:r>
      <w:r>
        <w:rPr>
          <w:rFonts w:ascii="宋体" w:hAnsi="宋体" w:cs="宋体"/>
          <w:sz w:val="18"/>
          <w:szCs w:val="18"/>
        </w:rPr>
        <w:t>2</w:t>
      </w:r>
      <w:r>
        <w:rPr>
          <w:rFonts w:hint="eastAsia" w:ascii="宋体" w:hAnsi="宋体" w:cs="宋体"/>
          <w:sz w:val="18"/>
          <w:szCs w:val="18"/>
        </w:rPr>
        <w:t>个方框：控制项条文只需填写第</w:t>
      </w:r>
      <w:r>
        <w:rPr>
          <w:rFonts w:ascii="宋体" w:hAnsi="宋体" w:cs="宋体"/>
          <w:sz w:val="18"/>
          <w:szCs w:val="18"/>
        </w:rPr>
        <w:t>2</w:t>
      </w:r>
      <w:r>
        <w:rPr>
          <w:rFonts w:hint="eastAsia" w:ascii="宋体" w:hAnsi="宋体" w:cs="宋体"/>
          <w:sz w:val="18"/>
          <w:szCs w:val="18"/>
        </w:rPr>
        <w:t>个方框，满足填“√”、不适用填“○”。</w:t>
      </w:r>
    </w:p>
    <w:p>
      <w:pPr>
        <w:spacing w:line="240" w:lineRule="exact"/>
        <w:rPr>
          <w:rFonts w:ascii="宋体" w:hAnsi="宋体" w:cs="宋体"/>
          <w:sz w:val="18"/>
          <w:szCs w:val="18"/>
        </w:rPr>
      </w:pPr>
      <w:r>
        <w:rPr>
          <w:rFonts w:hint="eastAsia" w:ascii="宋体" w:hAnsi="宋体" w:cs="宋体"/>
          <w:sz w:val="18"/>
          <w:szCs w:val="18"/>
        </w:rPr>
        <w:t>2.每个章节评分项都有一个得分汇总表，根据项目实际得分计划填写，并在相应的条文内填写技术措施说明及证明材料。</w:t>
      </w:r>
    </w:p>
    <w:p>
      <w:pPr>
        <w:spacing w:line="240" w:lineRule="exact"/>
        <w:rPr>
          <w:rFonts w:ascii="宋体" w:hAnsi="宋体" w:cs="宋体"/>
          <w:sz w:val="18"/>
          <w:szCs w:val="18"/>
        </w:rPr>
      </w:pPr>
      <w:r>
        <w:rPr>
          <w:rFonts w:ascii="宋体" w:hAnsi="宋体" w:cs="宋体"/>
          <w:sz w:val="18"/>
          <w:szCs w:val="18"/>
        </w:rPr>
        <w:t>3.</w:t>
      </w:r>
      <w:r>
        <w:rPr>
          <w:rFonts w:hint="eastAsia" w:ascii="宋体" w:hAnsi="宋体" w:cs="宋体"/>
          <w:sz w:val="18"/>
          <w:szCs w:val="18"/>
        </w:rPr>
        <w:t>“技术措施说明”中应简要叙述设计中的绿色建筑设计方案和技术措施，包括但不限于设计方案描述、关键参数说明和设计效果表达。</w:t>
      </w:r>
    </w:p>
    <w:p>
      <w:pPr>
        <w:spacing w:line="240" w:lineRule="exact"/>
        <w:rPr>
          <w:rFonts w:ascii="宋体" w:hAnsi="宋体" w:cs="宋体"/>
          <w:sz w:val="18"/>
          <w:szCs w:val="18"/>
        </w:rPr>
      </w:pPr>
      <w:r>
        <w:rPr>
          <w:rFonts w:hint="eastAsia" w:ascii="宋体" w:hAnsi="宋体" w:cs="宋体"/>
          <w:sz w:val="18"/>
          <w:szCs w:val="18"/>
        </w:rPr>
        <w:t>4.“证明材料”中应注明支撑绿色建筑设计得分的施工图图纸编号或其他专业资料（或分析报告、计算书等），并编制证明文件目录清单。</w:t>
      </w:r>
    </w:p>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5.若设计图纸暂不能提供（如景观、装修、智能化、二次专</w:t>
      </w:r>
      <w:r>
        <w:rPr>
          <w:rFonts w:hint="eastAsia" w:ascii="宋体" w:hAnsi="宋体" w:cs="宋体"/>
          <w:color w:val="000000" w:themeColor="text1"/>
          <w:sz w:val="18"/>
          <w:szCs w:val="18"/>
          <w14:textFill>
            <w14:solidFill>
              <w14:schemeClr w14:val="tx1"/>
            </w14:solidFill>
          </w14:textFill>
        </w:rPr>
        <w:t>业设计），应</w:t>
      </w:r>
      <w:r>
        <w:rPr>
          <w:rFonts w:ascii="宋体" w:hAnsi="宋体" w:cs="宋体"/>
          <w:color w:val="000000" w:themeColor="text1"/>
          <w:sz w:val="18"/>
          <w:szCs w:val="18"/>
          <w14:textFill>
            <w14:solidFill>
              <w14:schemeClr w14:val="tx1"/>
            </w14:solidFill>
          </w14:textFill>
        </w:rPr>
        <w:t>在</w:t>
      </w:r>
      <w:r>
        <w:rPr>
          <w:rFonts w:hint="eastAsia" w:ascii="宋体" w:hAnsi="宋体" w:cs="宋体"/>
          <w:color w:val="000000" w:themeColor="text1"/>
          <w:sz w:val="18"/>
          <w:szCs w:val="18"/>
          <w14:textFill>
            <w14:solidFill>
              <w14:schemeClr w14:val="tx1"/>
            </w14:solidFill>
          </w14:textFill>
        </w:rPr>
        <w:t>“技术措施说明”中</w:t>
      </w:r>
      <w:r>
        <w:rPr>
          <w:rFonts w:ascii="宋体" w:hAnsi="宋体" w:cs="宋体"/>
          <w:color w:val="000000" w:themeColor="text1"/>
          <w:sz w:val="18"/>
          <w:szCs w:val="18"/>
          <w14:textFill>
            <w14:solidFill>
              <w14:schemeClr w14:val="tx1"/>
            </w14:solidFill>
          </w14:textFill>
        </w:rPr>
        <w:t>明确二次设计需要达到的设计指标，并</w:t>
      </w:r>
      <w:r>
        <w:rPr>
          <w:rFonts w:hint="eastAsia" w:ascii="宋体" w:hAnsi="宋体" w:cs="宋体"/>
          <w:color w:val="000000" w:themeColor="text1"/>
          <w:sz w:val="18"/>
          <w:szCs w:val="18"/>
          <w14:textFill>
            <w14:solidFill>
              <w14:schemeClr w14:val="tx1"/>
            </w14:solidFill>
          </w14:textFill>
        </w:rPr>
        <w:t>在证明材料中注明证明材料为二次设计达标承诺函，后期专业设计应按照本专篇填写内容落实。</w:t>
      </w:r>
    </w:p>
    <w:p>
      <w:pPr>
        <w:spacing w:line="240" w:lineRule="exact"/>
        <w:rPr>
          <w:rFonts w:ascii="宋体" w:hAnsi="宋体" w:cs="宋体"/>
          <w:sz w:val="18"/>
          <w:szCs w:val="18"/>
        </w:rPr>
      </w:pPr>
      <w:r>
        <w:rPr>
          <w:rFonts w:hint="eastAsia" w:ascii="宋体" w:hAnsi="宋体" w:cs="宋体"/>
          <w:color w:val="000000" w:themeColor="text1"/>
          <w:sz w:val="18"/>
          <w:szCs w:val="18"/>
          <w14:textFill>
            <w14:solidFill>
              <w14:schemeClr w14:val="tx1"/>
            </w14:solidFill>
          </w14:textFill>
        </w:rPr>
        <w:t>6.为便于查看，填写时根据项目实际情况保留参评并得分的条文，不得分条</w:t>
      </w:r>
      <w:r>
        <w:rPr>
          <w:rFonts w:hint="eastAsia" w:ascii="宋体" w:hAnsi="宋体" w:cs="宋体"/>
          <w:sz w:val="18"/>
          <w:szCs w:val="18"/>
        </w:rPr>
        <w:t>文请删除。</w:t>
      </w:r>
    </w:p>
    <w:p>
      <w:pPr>
        <w:spacing w:line="240" w:lineRule="exact"/>
        <w:rPr>
          <w:rFonts w:ascii="宋体" w:hAnsi="宋体" w:cs="宋体"/>
          <w:sz w:val="18"/>
          <w:szCs w:val="18"/>
        </w:rPr>
      </w:pPr>
      <w:r>
        <w:rPr>
          <w:rFonts w:hint="eastAsia" w:ascii="宋体" w:hAnsi="宋体" w:cs="宋体"/>
          <w:sz w:val="18"/>
          <w:szCs w:val="18"/>
        </w:rPr>
        <w:t>7.设计依据为当前最新相关设计规范。</w:t>
      </w:r>
    </w:p>
    <w:p>
      <w:pPr>
        <w:numPr>
          <w:ilvl w:val="0"/>
          <w:numId w:val="2"/>
        </w:numPr>
        <w:spacing w:line="264" w:lineRule="auto"/>
      </w:pPr>
      <w:r>
        <w:rPr>
          <w:rFonts w:hint="eastAsia"/>
        </w:rPr>
        <w:t>关于绿色建筑设计说明专篇编制</w:t>
      </w:r>
      <w:r>
        <w:t>的说明</w:t>
      </w:r>
    </w:p>
    <w:p>
      <w:pPr>
        <w:spacing w:line="264" w:lineRule="auto"/>
        <w:rPr>
          <w:rFonts w:ascii="宋体" w:hAnsi="宋体" w:eastAsia="宋体" w:cs="宋体"/>
        </w:rPr>
      </w:pPr>
      <w:r>
        <w:rPr>
          <w:rFonts w:hint="eastAsia" w:ascii="宋体" w:hAnsi="宋体" w:eastAsia="宋体" w:cs="宋体"/>
        </w:rPr>
        <w:t>1、根据《广东省绿色建筑条例》第十三条要求，</w:t>
      </w:r>
      <w:r>
        <w:rPr>
          <w:rFonts w:hint="eastAsia" w:ascii="宋体" w:hAnsi="宋体" w:eastAsia="宋体" w:cs="宋体"/>
          <w:color w:val="000000" w:themeColor="text1"/>
          <w:szCs w:val="21"/>
          <w:shd w:val="clear" w:color="auto" w:fill="FFFFFF"/>
          <w14:textFill>
            <w14:solidFill>
              <w14:schemeClr w14:val="tx1"/>
            </w14:solidFill>
          </w14:textFill>
        </w:rPr>
        <w:t>设计单位应当按照绿色建筑等级要求进行设计，编制绿色建筑设计说明或者专篇</w:t>
      </w:r>
      <w:r>
        <w:rPr>
          <w:rFonts w:hint="eastAsia" w:ascii="宋体" w:hAnsi="宋体" w:eastAsia="宋体" w:cs="宋体"/>
          <w:color w:val="000000" w:themeColor="text1"/>
          <w14:textFill>
            <w14:solidFill>
              <w14:schemeClr w14:val="tx1"/>
            </w14:solidFill>
          </w14:textFill>
        </w:rPr>
        <w:t>。</w:t>
      </w:r>
    </w:p>
    <w:p>
      <w:pPr>
        <w:spacing w:line="264" w:lineRule="auto"/>
        <w:rPr>
          <w:rFonts w:ascii="宋体" w:hAnsi="宋体" w:eastAsia="宋体" w:cs="宋体"/>
        </w:rPr>
      </w:pPr>
      <w:r>
        <w:rPr>
          <w:rFonts w:hint="eastAsia" w:ascii="宋体" w:hAnsi="宋体" w:eastAsia="宋体" w:cs="宋体"/>
        </w:rPr>
        <w:t>2、绿色建筑设计说明或专篇等设计文件是绿色建筑技术措施表达的重要载体，是工程项目按图施工的主要依据，直接影响绿色建筑的建成性能和效果。</w:t>
      </w:r>
    </w:p>
    <w:p>
      <w:pPr>
        <w:spacing w:line="264" w:lineRule="auto"/>
        <w:rPr>
          <w:rFonts w:ascii="宋体" w:hAnsi="宋体" w:eastAsia="宋体" w:cs="宋体"/>
        </w:rPr>
      </w:pPr>
      <w:r>
        <w:rPr>
          <w:rFonts w:hint="eastAsia" w:ascii="宋体" w:hAnsi="宋体" w:eastAsia="宋体" w:cs="宋体"/>
        </w:rPr>
        <w:t>3、设计单位应严格按照绿色建筑等级标准要求进行设计，编制绿色建筑设计说明或者专篇，并列入建筑专业施工图图纸目录，其他专业应在本专业设计文件中增加绿色建筑说明或专篇相关内容表述。</w:t>
      </w:r>
    </w:p>
    <w:p>
      <w:pPr>
        <w:spacing w:line="264" w:lineRule="auto"/>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汕头</w:t>
      </w:r>
      <w:r>
        <w:rPr>
          <w:rFonts w:hint="eastAsia" w:ascii="宋体" w:hAnsi="宋体" w:eastAsia="宋体" w:cs="宋体"/>
        </w:rPr>
        <w:t>市绿色建筑设计说明专篇示范文本》仅作为绿色建筑项目施工图设计的参考，设计单位应结合项目实际，依据《房屋建筑制图统一标准（GB/T 50001）》等规定，编制绿色建筑设计说明专篇。</w:t>
      </w:r>
    </w:p>
    <w:p>
      <w:pPr>
        <w:spacing w:line="264" w:lineRule="auto"/>
        <w:rPr>
          <w:rFonts w:hint="default" w:ascii="宋体" w:hAnsi="宋体" w:eastAsia="宋体" w:cs="宋体"/>
          <w:lang w:val="en-US" w:eastAsia="zh-CN"/>
        </w:rPr>
      </w:pPr>
      <w:r>
        <w:rPr>
          <w:rFonts w:hint="eastAsia" w:ascii="宋体" w:hAnsi="宋体" w:eastAsia="宋体" w:cs="宋体"/>
        </w:rPr>
        <w:t>5.绿色建筑设计说明专篇中关于绿色建材应用提出目标值和初步方案，可在设计文件要求建设阶段由施工方跟进深化并提交设计复核。</w:t>
      </w:r>
    </w:p>
    <w:sectPr>
      <w:headerReference r:id="rId3" w:type="default"/>
      <w:footerReference r:id="rId5" w:type="default"/>
      <w:headerReference r:id="rId4" w:type="even"/>
      <w:pgSz w:w="23811" w:h="16838" w:orient="landscape"/>
      <w:pgMar w:top="2098" w:right="1474" w:bottom="1984" w:left="1587" w:header="851" w:footer="992" w:gutter="0"/>
      <w:pgNumType w:fmt="decimal"/>
      <w:cols w:space="1155" w:num="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F7BE"/>
    <w:multiLevelType w:val="singleLevel"/>
    <w:tmpl w:val="0F2DF7BE"/>
    <w:lvl w:ilvl="0" w:tentative="0">
      <w:start w:val="1"/>
      <w:numFmt w:val="decimal"/>
      <w:lvlText w:val="%1."/>
      <w:lvlJc w:val="left"/>
      <w:pPr>
        <w:ind w:left="425" w:hanging="425"/>
      </w:pPr>
      <w:rPr>
        <w:rFonts w:hint="default"/>
      </w:rPr>
    </w:lvl>
  </w:abstractNum>
  <w:abstractNum w:abstractNumId="1">
    <w:nsid w:val="316D1788"/>
    <w:multiLevelType w:val="singleLevel"/>
    <w:tmpl w:val="316D178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E6"/>
    <w:rsid w:val="00005F0A"/>
    <w:rsid w:val="00013E7D"/>
    <w:rsid w:val="00020FD6"/>
    <w:rsid w:val="0002290C"/>
    <w:rsid w:val="000545D3"/>
    <w:rsid w:val="00061636"/>
    <w:rsid w:val="0006681E"/>
    <w:rsid w:val="00075634"/>
    <w:rsid w:val="00080169"/>
    <w:rsid w:val="00087ADA"/>
    <w:rsid w:val="000A3036"/>
    <w:rsid w:val="000A6686"/>
    <w:rsid w:val="000A6BAD"/>
    <w:rsid w:val="000B3E7C"/>
    <w:rsid w:val="000B6B7F"/>
    <w:rsid w:val="000C7C8D"/>
    <w:rsid w:val="000E5F36"/>
    <w:rsid w:val="000F2497"/>
    <w:rsid w:val="000F544A"/>
    <w:rsid w:val="00102929"/>
    <w:rsid w:val="00103212"/>
    <w:rsid w:val="00104469"/>
    <w:rsid w:val="00117E5D"/>
    <w:rsid w:val="00120457"/>
    <w:rsid w:val="001229B5"/>
    <w:rsid w:val="00127A28"/>
    <w:rsid w:val="00132526"/>
    <w:rsid w:val="00137CC0"/>
    <w:rsid w:val="00163BF7"/>
    <w:rsid w:val="00166A5C"/>
    <w:rsid w:val="001717B9"/>
    <w:rsid w:val="00183791"/>
    <w:rsid w:val="001955C4"/>
    <w:rsid w:val="001C5B7F"/>
    <w:rsid w:val="001D0131"/>
    <w:rsid w:val="001F161E"/>
    <w:rsid w:val="00200EBD"/>
    <w:rsid w:val="0022353A"/>
    <w:rsid w:val="00227063"/>
    <w:rsid w:val="00227267"/>
    <w:rsid w:val="00233CCA"/>
    <w:rsid w:val="002542DA"/>
    <w:rsid w:val="002556BF"/>
    <w:rsid w:val="00265407"/>
    <w:rsid w:val="0026678A"/>
    <w:rsid w:val="00267DEB"/>
    <w:rsid w:val="00275248"/>
    <w:rsid w:val="00284239"/>
    <w:rsid w:val="00287436"/>
    <w:rsid w:val="002A7638"/>
    <w:rsid w:val="002B7764"/>
    <w:rsid w:val="002C2D69"/>
    <w:rsid w:val="002D14DB"/>
    <w:rsid w:val="002D2842"/>
    <w:rsid w:val="002E6742"/>
    <w:rsid w:val="002F27CA"/>
    <w:rsid w:val="002F784E"/>
    <w:rsid w:val="00304319"/>
    <w:rsid w:val="00307FD9"/>
    <w:rsid w:val="003241ED"/>
    <w:rsid w:val="00326B72"/>
    <w:rsid w:val="00331684"/>
    <w:rsid w:val="00337E3B"/>
    <w:rsid w:val="003458D2"/>
    <w:rsid w:val="00352073"/>
    <w:rsid w:val="00361BDC"/>
    <w:rsid w:val="00386B04"/>
    <w:rsid w:val="003875E1"/>
    <w:rsid w:val="003908AD"/>
    <w:rsid w:val="00396E97"/>
    <w:rsid w:val="003A4C1C"/>
    <w:rsid w:val="003B4B8B"/>
    <w:rsid w:val="003C1C8B"/>
    <w:rsid w:val="003C7968"/>
    <w:rsid w:val="003E570F"/>
    <w:rsid w:val="003F2ADC"/>
    <w:rsid w:val="004027DC"/>
    <w:rsid w:val="004168BE"/>
    <w:rsid w:val="00421200"/>
    <w:rsid w:val="004214E6"/>
    <w:rsid w:val="00421AA9"/>
    <w:rsid w:val="004408DA"/>
    <w:rsid w:val="00446646"/>
    <w:rsid w:val="0045154C"/>
    <w:rsid w:val="00474958"/>
    <w:rsid w:val="00477B33"/>
    <w:rsid w:val="00482B7A"/>
    <w:rsid w:val="00483911"/>
    <w:rsid w:val="00484C25"/>
    <w:rsid w:val="00495B61"/>
    <w:rsid w:val="004A72CB"/>
    <w:rsid w:val="004D2C4D"/>
    <w:rsid w:val="004F3E7B"/>
    <w:rsid w:val="00503FD5"/>
    <w:rsid w:val="0050404B"/>
    <w:rsid w:val="00531350"/>
    <w:rsid w:val="0054278A"/>
    <w:rsid w:val="00556C56"/>
    <w:rsid w:val="00561145"/>
    <w:rsid w:val="0056714A"/>
    <w:rsid w:val="00567C1E"/>
    <w:rsid w:val="00573AF6"/>
    <w:rsid w:val="00574C71"/>
    <w:rsid w:val="00580D9B"/>
    <w:rsid w:val="00594857"/>
    <w:rsid w:val="00596B9F"/>
    <w:rsid w:val="005B3A1F"/>
    <w:rsid w:val="005B6457"/>
    <w:rsid w:val="005D2239"/>
    <w:rsid w:val="005D2873"/>
    <w:rsid w:val="005D5B34"/>
    <w:rsid w:val="005D7213"/>
    <w:rsid w:val="005E7A86"/>
    <w:rsid w:val="005F42A4"/>
    <w:rsid w:val="005F7F7A"/>
    <w:rsid w:val="00600A9F"/>
    <w:rsid w:val="00601F5C"/>
    <w:rsid w:val="00607F75"/>
    <w:rsid w:val="006123FC"/>
    <w:rsid w:val="00637606"/>
    <w:rsid w:val="0066263D"/>
    <w:rsid w:val="0066599A"/>
    <w:rsid w:val="00671B35"/>
    <w:rsid w:val="00685485"/>
    <w:rsid w:val="006A456B"/>
    <w:rsid w:val="006A4A73"/>
    <w:rsid w:val="006A7309"/>
    <w:rsid w:val="006B2CAD"/>
    <w:rsid w:val="006C7F1E"/>
    <w:rsid w:val="006D2053"/>
    <w:rsid w:val="006D6F37"/>
    <w:rsid w:val="006E4AF0"/>
    <w:rsid w:val="006E7258"/>
    <w:rsid w:val="006F2346"/>
    <w:rsid w:val="00704717"/>
    <w:rsid w:val="0071032B"/>
    <w:rsid w:val="00714305"/>
    <w:rsid w:val="00717C42"/>
    <w:rsid w:val="00737267"/>
    <w:rsid w:val="00744336"/>
    <w:rsid w:val="00756466"/>
    <w:rsid w:val="00756956"/>
    <w:rsid w:val="007604B7"/>
    <w:rsid w:val="00765CC9"/>
    <w:rsid w:val="00781FB1"/>
    <w:rsid w:val="00790AC1"/>
    <w:rsid w:val="007977EE"/>
    <w:rsid w:val="007A2BFD"/>
    <w:rsid w:val="007C6A40"/>
    <w:rsid w:val="007D0255"/>
    <w:rsid w:val="007E4D6E"/>
    <w:rsid w:val="007F659E"/>
    <w:rsid w:val="00806492"/>
    <w:rsid w:val="008066E0"/>
    <w:rsid w:val="008076DA"/>
    <w:rsid w:val="00807B38"/>
    <w:rsid w:val="00812F7D"/>
    <w:rsid w:val="00840C85"/>
    <w:rsid w:val="00846D07"/>
    <w:rsid w:val="008473EE"/>
    <w:rsid w:val="00847EEE"/>
    <w:rsid w:val="00854015"/>
    <w:rsid w:val="008555BC"/>
    <w:rsid w:val="0086661E"/>
    <w:rsid w:val="00866C0C"/>
    <w:rsid w:val="00866C76"/>
    <w:rsid w:val="008B4061"/>
    <w:rsid w:val="008C2728"/>
    <w:rsid w:val="008D6928"/>
    <w:rsid w:val="008E0AC5"/>
    <w:rsid w:val="008E306B"/>
    <w:rsid w:val="008E528A"/>
    <w:rsid w:val="008E5C44"/>
    <w:rsid w:val="008E707A"/>
    <w:rsid w:val="008F3254"/>
    <w:rsid w:val="00902C8C"/>
    <w:rsid w:val="00920468"/>
    <w:rsid w:val="0092502B"/>
    <w:rsid w:val="009449BC"/>
    <w:rsid w:val="0097512C"/>
    <w:rsid w:val="00982CEC"/>
    <w:rsid w:val="00983452"/>
    <w:rsid w:val="009B3A57"/>
    <w:rsid w:val="009B49B1"/>
    <w:rsid w:val="009C42BA"/>
    <w:rsid w:val="009C4D43"/>
    <w:rsid w:val="009E0594"/>
    <w:rsid w:val="009F29C6"/>
    <w:rsid w:val="00A104D9"/>
    <w:rsid w:val="00A1061A"/>
    <w:rsid w:val="00A3068F"/>
    <w:rsid w:val="00A93DC9"/>
    <w:rsid w:val="00AA738F"/>
    <w:rsid w:val="00AA784B"/>
    <w:rsid w:val="00AB6412"/>
    <w:rsid w:val="00AB7B2D"/>
    <w:rsid w:val="00AD379F"/>
    <w:rsid w:val="00AD5B75"/>
    <w:rsid w:val="00AF40B7"/>
    <w:rsid w:val="00AF541A"/>
    <w:rsid w:val="00B01CF3"/>
    <w:rsid w:val="00B02841"/>
    <w:rsid w:val="00B07B86"/>
    <w:rsid w:val="00B07EAE"/>
    <w:rsid w:val="00B13A61"/>
    <w:rsid w:val="00B231C7"/>
    <w:rsid w:val="00B3483B"/>
    <w:rsid w:val="00B5406A"/>
    <w:rsid w:val="00B57242"/>
    <w:rsid w:val="00B657EA"/>
    <w:rsid w:val="00B67E54"/>
    <w:rsid w:val="00B70EB2"/>
    <w:rsid w:val="00B74BD7"/>
    <w:rsid w:val="00B81240"/>
    <w:rsid w:val="00BA014D"/>
    <w:rsid w:val="00C054D9"/>
    <w:rsid w:val="00C17B2D"/>
    <w:rsid w:val="00C255C7"/>
    <w:rsid w:val="00C25804"/>
    <w:rsid w:val="00C4178C"/>
    <w:rsid w:val="00C54A59"/>
    <w:rsid w:val="00C630F3"/>
    <w:rsid w:val="00C70A68"/>
    <w:rsid w:val="00C811BF"/>
    <w:rsid w:val="00C95ABE"/>
    <w:rsid w:val="00CA3869"/>
    <w:rsid w:val="00CB5FB4"/>
    <w:rsid w:val="00CC04B6"/>
    <w:rsid w:val="00CC0F36"/>
    <w:rsid w:val="00CE1B46"/>
    <w:rsid w:val="00CF1930"/>
    <w:rsid w:val="00CF74AD"/>
    <w:rsid w:val="00D00F0E"/>
    <w:rsid w:val="00D02CE7"/>
    <w:rsid w:val="00D13FC7"/>
    <w:rsid w:val="00D2767D"/>
    <w:rsid w:val="00D31769"/>
    <w:rsid w:val="00D35384"/>
    <w:rsid w:val="00D70912"/>
    <w:rsid w:val="00D74BB9"/>
    <w:rsid w:val="00D765DD"/>
    <w:rsid w:val="00D84E1B"/>
    <w:rsid w:val="00D87521"/>
    <w:rsid w:val="00D90276"/>
    <w:rsid w:val="00DA52C8"/>
    <w:rsid w:val="00DB414C"/>
    <w:rsid w:val="00DB42A7"/>
    <w:rsid w:val="00DB5BF1"/>
    <w:rsid w:val="00DB7CE3"/>
    <w:rsid w:val="00DD1419"/>
    <w:rsid w:val="00DE1961"/>
    <w:rsid w:val="00DE41CF"/>
    <w:rsid w:val="00DE647E"/>
    <w:rsid w:val="00DF0B11"/>
    <w:rsid w:val="00E0678F"/>
    <w:rsid w:val="00E13262"/>
    <w:rsid w:val="00E138AC"/>
    <w:rsid w:val="00E15B09"/>
    <w:rsid w:val="00E16849"/>
    <w:rsid w:val="00E53D15"/>
    <w:rsid w:val="00E56EA3"/>
    <w:rsid w:val="00E84EB4"/>
    <w:rsid w:val="00EC460F"/>
    <w:rsid w:val="00ED68CD"/>
    <w:rsid w:val="00EE3769"/>
    <w:rsid w:val="00EF5F18"/>
    <w:rsid w:val="00F045D1"/>
    <w:rsid w:val="00F06330"/>
    <w:rsid w:val="00F10137"/>
    <w:rsid w:val="00F26E13"/>
    <w:rsid w:val="00F6630E"/>
    <w:rsid w:val="00F77A81"/>
    <w:rsid w:val="00FA2450"/>
    <w:rsid w:val="00FA7379"/>
    <w:rsid w:val="00FB36FD"/>
    <w:rsid w:val="00FB7C8A"/>
    <w:rsid w:val="00FD396C"/>
    <w:rsid w:val="00FE2FA1"/>
    <w:rsid w:val="00FF1A3B"/>
    <w:rsid w:val="00FF726B"/>
    <w:rsid w:val="00FF726E"/>
    <w:rsid w:val="012855CE"/>
    <w:rsid w:val="012F4CF4"/>
    <w:rsid w:val="02405801"/>
    <w:rsid w:val="027D359B"/>
    <w:rsid w:val="02E36DA4"/>
    <w:rsid w:val="03213F33"/>
    <w:rsid w:val="03651366"/>
    <w:rsid w:val="04775070"/>
    <w:rsid w:val="04A01AD6"/>
    <w:rsid w:val="06A20229"/>
    <w:rsid w:val="072477B1"/>
    <w:rsid w:val="09612F3C"/>
    <w:rsid w:val="09BB0040"/>
    <w:rsid w:val="0A097832"/>
    <w:rsid w:val="0BBF7C91"/>
    <w:rsid w:val="0BF11E9B"/>
    <w:rsid w:val="0CFB4F59"/>
    <w:rsid w:val="0D420FAB"/>
    <w:rsid w:val="0F446FD6"/>
    <w:rsid w:val="0F965EE2"/>
    <w:rsid w:val="150A3FB6"/>
    <w:rsid w:val="16D43B38"/>
    <w:rsid w:val="1A9115F8"/>
    <w:rsid w:val="1BD50E83"/>
    <w:rsid w:val="1C5925F4"/>
    <w:rsid w:val="1C5A395E"/>
    <w:rsid w:val="1CCB297C"/>
    <w:rsid w:val="1F283A9B"/>
    <w:rsid w:val="218E6919"/>
    <w:rsid w:val="21A340A7"/>
    <w:rsid w:val="24F05322"/>
    <w:rsid w:val="28456811"/>
    <w:rsid w:val="28D26E7F"/>
    <w:rsid w:val="29CB40EF"/>
    <w:rsid w:val="2A906458"/>
    <w:rsid w:val="2D8F6B36"/>
    <w:rsid w:val="2F8878EC"/>
    <w:rsid w:val="2F9F3C9D"/>
    <w:rsid w:val="30BD5A20"/>
    <w:rsid w:val="30CB3AC3"/>
    <w:rsid w:val="30EB2A96"/>
    <w:rsid w:val="31054943"/>
    <w:rsid w:val="340547BA"/>
    <w:rsid w:val="35504103"/>
    <w:rsid w:val="362C2129"/>
    <w:rsid w:val="36DC3454"/>
    <w:rsid w:val="37787A15"/>
    <w:rsid w:val="397E1239"/>
    <w:rsid w:val="3BF21F27"/>
    <w:rsid w:val="3DFD74BA"/>
    <w:rsid w:val="3E4B3440"/>
    <w:rsid w:val="4290005F"/>
    <w:rsid w:val="42CA5C08"/>
    <w:rsid w:val="44F073DC"/>
    <w:rsid w:val="45F503C1"/>
    <w:rsid w:val="4948216B"/>
    <w:rsid w:val="4AC50A15"/>
    <w:rsid w:val="4B990943"/>
    <w:rsid w:val="4DCF4938"/>
    <w:rsid w:val="4FEF9513"/>
    <w:rsid w:val="50FD6730"/>
    <w:rsid w:val="543279C6"/>
    <w:rsid w:val="56D67884"/>
    <w:rsid w:val="58291F50"/>
    <w:rsid w:val="5937658C"/>
    <w:rsid w:val="599D4D9E"/>
    <w:rsid w:val="5AAD0492"/>
    <w:rsid w:val="5B9D1078"/>
    <w:rsid w:val="5E3C3929"/>
    <w:rsid w:val="67AC5AAE"/>
    <w:rsid w:val="7018264D"/>
    <w:rsid w:val="71C86144"/>
    <w:rsid w:val="74262EE8"/>
    <w:rsid w:val="74BF840D"/>
    <w:rsid w:val="756446DA"/>
    <w:rsid w:val="75C43069"/>
    <w:rsid w:val="75CD4077"/>
    <w:rsid w:val="75F9A045"/>
    <w:rsid w:val="763418FB"/>
    <w:rsid w:val="77155AB7"/>
    <w:rsid w:val="77BD05BF"/>
    <w:rsid w:val="77EB07C4"/>
    <w:rsid w:val="79D13BEB"/>
    <w:rsid w:val="7D125DB6"/>
    <w:rsid w:val="7DED33DF"/>
    <w:rsid w:val="7E143279"/>
    <w:rsid w:val="7E4A779B"/>
    <w:rsid w:val="7EAF26F7"/>
    <w:rsid w:val="7F1CF799"/>
    <w:rsid w:val="99F15917"/>
    <w:rsid w:val="9DBA12EB"/>
    <w:rsid w:val="BD7D3E07"/>
    <w:rsid w:val="BFD6EDA8"/>
    <w:rsid w:val="D97DE31A"/>
    <w:rsid w:val="E5D593BE"/>
    <w:rsid w:val="EB5744F4"/>
    <w:rsid w:val="ED934880"/>
    <w:rsid w:val="EFF75EF5"/>
    <w:rsid w:val="FDDE2D88"/>
    <w:rsid w:val="FDDFE78C"/>
    <w:rsid w:val="FFEF4E0D"/>
    <w:rsid w:val="FFF78E1E"/>
    <w:rsid w:val="FFFF4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5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10"/>
    <w:link w:val="3"/>
    <w:semiHidden/>
    <w:qFormat/>
    <w:uiPriority w:val="99"/>
    <w:rPr>
      <w:kern w:val="2"/>
      <w:sz w:val="21"/>
      <w:szCs w:val="22"/>
    </w:rPr>
  </w:style>
  <w:style w:type="character" w:customStyle="1" w:styleId="17">
    <w:name w:val="批注主题 Char"/>
    <w:basedOn w:val="16"/>
    <w:link w:val="7"/>
    <w:semiHidden/>
    <w:qFormat/>
    <w:uiPriority w:val="99"/>
    <w:rPr>
      <w:b/>
      <w:bCs/>
      <w:kern w:val="2"/>
      <w:sz w:val="21"/>
      <w:szCs w:val="22"/>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2773</Words>
  <Characters>15807</Characters>
  <Lines>131</Lines>
  <Paragraphs>37</Paragraphs>
  <TotalTime>203</TotalTime>
  <ScaleCrop>false</ScaleCrop>
  <LinksUpToDate>false</LinksUpToDate>
  <CharactersWithSpaces>18543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2025-08-15T03:33:00Z</dcterms:created>
  <dc:creator>苏敏</dc:creator>
  <cp:lastModifiedBy>user</cp:lastModifiedBy>
  <cp:lastPrinted>2025-06-11T21:14:00Z</cp:lastPrinted>
  <dcterms:modified xsi:type="dcterms:W3CDTF">2025-10-23T18:45:40Z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AC4B8322BB80AEBC81824068357A2B97_43</vt:lpwstr>
  </property>
  <property fmtid="{D5CDD505-2E9C-101B-9397-08002B2CF9AE}" pid="4" name="KSOTemplateDocerSaveRecord">
    <vt:lpwstr>eyJoZGlkIjoiZGE0MmZhZjAyZDczNWVjOTk2MjQ3ZWRjNjk3OTdkNmMiLCJ1c2VySWQiOiIzMjYwMTAwNDgifQ==</vt:lpwstr>
  </property>
</Properties>
</file>