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rPr>
          <w:rFonts w:ascii="CESI黑体-GB2312" w:hAnsi="CESI黑体-GB2312" w:eastAsia="CESI黑体-GB2312" w:cs="CESI黑体-GB2312"/>
          <w:color w:val="auto"/>
          <w:sz w:val="32"/>
          <w:szCs w:val="32"/>
        </w:rPr>
      </w:pPr>
    </w:p>
    <w:p>
      <w:pPr>
        <w:rPr>
          <w:rFonts w:ascii="CESI黑体-GB2312" w:hAnsi="CESI黑体-GB2312" w:eastAsia="CESI黑体-GB2312" w:cs="CESI黑体-GB2312"/>
          <w:color w:val="auto"/>
          <w:sz w:val="32"/>
          <w:szCs w:val="32"/>
        </w:rPr>
      </w:pPr>
    </w:p>
    <w:p>
      <w:pPr>
        <w:rPr>
          <w:rFonts w:ascii="CESI黑体-GB2312" w:hAnsi="CESI黑体-GB2312" w:eastAsia="CESI黑体-GB2312" w:cs="CESI黑体-GB2312"/>
          <w:color w:val="auto"/>
          <w:sz w:val="32"/>
          <w:szCs w:val="32"/>
        </w:rPr>
      </w:pPr>
    </w:p>
    <w:p>
      <w:pPr>
        <w:jc w:val="center"/>
        <w:rPr>
          <w:rFonts w:ascii="CESI黑体-GB2312" w:hAnsi="CESI黑体-GB2312" w:eastAsia="CESI黑体-GB2312" w:cs="CESI黑体-GB2312"/>
          <w:color w:val="auto"/>
          <w:sz w:val="44"/>
          <w:szCs w:val="44"/>
        </w:rPr>
      </w:pPr>
      <w:r>
        <w:rPr>
          <w:rFonts w:hint="eastAsia" w:ascii="CESI黑体-GB2312" w:hAnsi="CESI黑体-GB2312" w:eastAsia="CESI黑体-GB2312" w:cs="CESI黑体-GB2312"/>
          <w:color w:val="auto"/>
          <w:sz w:val="44"/>
          <w:szCs w:val="44"/>
        </w:rPr>
        <w:t>汕头高新区“科技专项贷”合作银行申报书</w:t>
      </w:r>
    </w:p>
    <w:p>
      <w:pPr>
        <w:jc w:val="center"/>
        <w:rPr>
          <w:rFonts w:ascii="CESI黑体-GB2312" w:hAnsi="CESI黑体-GB2312" w:eastAsia="CESI黑体-GB2312" w:cs="CESI黑体-GB2312"/>
          <w:color w:val="auto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color w:val="auto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color w:val="auto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color w:val="auto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color w:val="auto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color w:val="auto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color w:val="auto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color w:val="auto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color w:val="auto"/>
          <w:sz w:val="30"/>
          <w:u w:val="single"/>
        </w:rPr>
      </w:pPr>
      <w:r>
        <w:rPr>
          <w:color w:val="auto"/>
          <w:sz w:val="30"/>
        </w:rPr>
        <w:t>申报</w:t>
      </w:r>
      <w:r>
        <w:rPr>
          <w:rFonts w:hint="eastAsia"/>
          <w:color w:val="auto"/>
          <w:sz w:val="30"/>
        </w:rPr>
        <w:t>机构</w:t>
      </w:r>
      <w:r>
        <w:rPr>
          <w:color w:val="auto"/>
          <w:sz w:val="30"/>
        </w:rPr>
        <w:t>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color w:val="auto"/>
          <w:sz w:val="28"/>
        </w:rPr>
      </w:pPr>
      <w:r>
        <w:rPr>
          <w:color w:val="auto"/>
          <w:sz w:val="30"/>
        </w:rPr>
        <w:t>申报</w:t>
      </w:r>
      <w:r>
        <w:rPr>
          <w:rFonts w:hint="eastAsia"/>
          <w:color w:val="auto"/>
          <w:sz w:val="30"/>
        </w:rPr>
        <w:t>日期</w:t>
      </w:r>
      <w:r>
        <w:rPr>
          <w:color w:val="auto"/>
          <w:sz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color w:val="auto"/>
          <w:sz w:val="28"/>
        </w:rPr>
      </w:pPr>
    </w:p>
    <w:p>
      <w:pPr>
        <w:adjustRightInd w:val="0"/>
        <w:snapToGrid w:val="0"/>
        <w:spacing w:line="360" w:lineRule="auto"/>
        <w:rPr>
          <w:color w:val="auto"/>
          <w:sz w:val="30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rPr>
          <w:rFonts w:eastAsia="长城小标宋体"/>
          <w:b/>
          <w:color w:val="auto"/>
          <w:sz w:val="36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eastAsia="长城小标宋体"/>
          <w:b/>
          <w:color w:val="auto"/>
          <w:sz w:val="32"/>
          <w:szCs w:val="21"/>
        </w:rPr>
      </w:pPr>
    </w:p>
    <w:p>
      <w:pPr>
        <w:tabs>
          <w:tab w:val="left" w:pos="8736"/>
        </w:tabs>
        <w:adjustRightInd w:val="0"/>
        <w:snapToGrid w:val="0"/>
        <w:jc w:val="center"/>
        <w:rPr>
          <w:rFonts w:eastAsia="仿宋_GB2312"/>
          <w:bCs/>
          <w:color w:val="auto"/>
        </w:rPr>
      </w:pPr>
      <w:r>
        <w:rPr>
          <w:rFonts w:eastAsia="长城小标宋体"/>
          <w:b/>
          <w:color w:val="auto"/>
          <w:sz w:val="36"/>
        </w:rPr>
        <w:br w:type="page"/>
      </w:r>
    </w:p>
    <w:tbl>
      <w:tblPr>
        <w:tblStyle w:val="8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1417"/>
        <w:gridCol w:w="1418"/>
        <w:gridCol w:w="279"/>
        <w:gridCol w:w="1705"/>
        <w:gridCol w:w="167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jc w:val="left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一、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商业银行</w:t>
            </w:r>
            <w:r>
              <w:rPr>
                <w:b/>
                <w:color w:val="auto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机构</w:t>
            </w:r>
            <w:r>
              <w:rPr>
                <w:color w:val="auto"/>
                <w:szCs w:val="21"/>
              </w:rPr>
              <w:t>名称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beforeLines="20"/>
              <w:rPr>
                <w:color w:val="auto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企业统一社会信用代码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beforeLines="2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地  址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beforeLines="20"/>
              <w:rPr>
                <w:color w:val="auto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邮  编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法人代表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rPr>
                <w:color w:val="auto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手机/电话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联 系 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手机/电话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rPr>
                <w:color w:val="auto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传  真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288" w:firstLineChars="150"/>
              <w:rPr>
                <w:color w:val="auto"/>
                <w:spacing w:val="-10"/>
                <w:szCs w:val="21"/>
              </w:rPr>
            </w:pPr>
            <w:r>
              <w:rPr>
                <w:rFonts w:hint="eastAsia"/>
                <w:color w:val="auto"/>
                <w:spacing w:val="-10"/>
                <w:szCs w:val="21"/>
              </w:rPr>
              <w:t>成立日期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pacing w:val="-1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pacing w:val="-10"/>
                <w:szCs w:val="21"/>
              </w:rPr>
            </w:pPr>
            <w:r>
              <w:rPr>
                <w:color w:val="auto"/>
                <w:spacing w:val="-10"/>
                <w:szCs w:val="21"/>
              </w:rPr>
              <w:t>注册资</w:t>
            </w:r>
            <w:r>
              <w:rPr>
                <w:rFonts w:hint="eastAsia"/>
                <w:color w:val="auto"/>
                <w:spacing w:val="-10"/>
                <w:szCs w:val="21"/>
              </w:rPr>
              <w:t>本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pacing w:val="-1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color w:val="auto"/>
                <w:spacing w:val="-1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全市网点数量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pacing w:val="-1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auto"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202</w:t>
            </w:r>
            <w:bookmarkStart w:id="0" w:name="_GoBack"/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4年</w:t>
            </w:r>
            <w:r>
              <w:rPr>
                <w:rFonts w:hint="eastAsia"/>
                <w:color w:val="auto"/>
                <w:szCs w:val="21"/>
              </w:rPr>
              <w:t>新增中小企</w:t>
            </w:r>
            <w:bookmarkEnd w:id="0"/>
            <w:r>
              <w:rPr>
                <w:rFonts w:hint="eastAsia"/>
                <w:color w:val="auto"/>
                <w:szCs w:val="21"/>
              </w:rPr>
              <w:t>业贷款户数占比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pacing w:val="-1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2024年</w:t>
            </w:r>
            <w:r>
              <w:rPr>
                <w:rFonts w:hint="eastAsia"/>
                <w:color w:val="auto"/>
                <w:szCs w:val="21"/>
              </w:rPr>
              <w:t>新增</w:t>
            </w:r>
            <w:r>
              <w:rPr>
                <w:rFonts w:hint="eastAsia"/>
                <w:color w:val="auto"/>
                <w:kern w:val="0"/>
                <w:szCs w:val="21"/>
              </w:rPr>
              <w:t>信用类（含保证）贷款平均利率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24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年</w:t>
            </w:r>
            <w:r>
              <w:rPr>
                <w:rFonts w:hint="eastAsia"/>
                <w:color w:val="auto"/>
                <w:kern w:val="0"/>
                <w:szCs w:val="21"/>
              </w:rPr>
              <w:t>新增科技型企业贷款的企业数占比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pacing w:val="-1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近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3</w:t>
            </w:r>
            <w:r>
              <w:rPr>
                <w:rFonts w:hint="eastAsia"/>
                <w:color w:val="auto"/>
                <w:szCs w:val="21"/>
              </w:rPr>
              <w:t>年科技型企业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贷款不良率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pacing w:val="-1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近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3</w:t>
            </w:r>
            <w:r>
              <w:rPr>
                <w:rFonts w:hint="eastAsia"/>
                <w:color w:val="auto"/>
                <w:szCs w:val="21"/>
              </w:rPr>
              <w:t>年单户最高授信额度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机构类型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auto"/>
              <w:rPr>
                <w:color w:val="auto"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auto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国有商业银行（）；股份制商业银行</w:t>
            </w:r>
            <w:r>
              <w:rPr>
                <w:color w:val="auto"/>
                <w:kern w:val="0"/>
                <w:szCs w:val="21"/>
              </w:rPr>
              <w:t>（  ）；</w:t>
            </w:r>
            <w:r>
              <w:rPr>
                <w:rFonts w:hint="eastAsia"/>
                <w:color w:val="auto"/>
                <w:kern w:val="0"/>
                <w:szCs w:val="21"/>
              </w:rPr>
              <w:t>城市商业银行（   ）；</w:t>
            </w:r>
          </w:p>
          <w:p>
            <w:pPr>
              <w:widowControl/>
              <w:snapToGrid w:val="0"/>
              <w:spacing w:line="360" w:lineRule="auto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农村商业银行（   ）；</w:t>
            </w:r>
            <w:r>
              <w:rPr>
                <w:color w:val="auto"/>
                <w:kern w:val="0"/>
                <w:szCs w:val="21"/>
              </w:rPr>
              <w:t>其</w:t>
            </w:r>
            <w:r>
              <w:rPr>
                <w:rFonts w:hint="eastAsia"/>
                <w:color w:val="auto"/>
                <w:kern w:val="0"/>
                <w:szCs w:val="21"/>
              </w:rPr>
              <w:t>他银行</w:t>
            </w:r>
            <w:r>
              <w:rPr>
                <w:color w:val="auto"/>
                <w:kern w:val="0"/>
                <w:szCs w:val="21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spacing w:val="-10"/>
                <w:szCs w:val="21"/>
              </w:rPr>
              <w:t>机构</w:t>
            </w:r>
            <w:r>
              <w:rPr>
                <w:color w:val="auto"/>
                <w:spacing w:val="-10"/>
                <w:szCs w:val="21"/>
              </w:rPr>
              <w:t>简介：（主营业务范围、主要产品、主要市场及客户、核心竞争能力等）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color w:val="auto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color w:val="auto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color w:val="auto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color w:val="auto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color w:val="auto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color w:val="auto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color w:val="auto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pacing w:val="-1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2024</w:t>
            </w:r>
            <w:r>
              <w:rPr>
                <w:rFonts w:hint="eastAsia"/>
                <w:color w:val="auto"/>
                <w:kern w:val="0"/>
                <w:szCs w:val="21"/>
              </w:rPr>
              <w:t>年本银行科技型企业贷款情况说明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4" w:firstLineChars="200"/>
              <w:rPr>
                <w:rFonts w:ascii="宋体" w:cs="宋体"/>
                <w:color w:val="auto"/>
                <w:szCs w:val="21"/>
              </w:rPr>
            </w:pPr>
          </w:p>
          <w:p>
            <w:pPr>
              <w:ind w:firstLine="424" w:firstLineChars="200"/>
              <w:rPr>
                <w:rFonts w:ascii="宋体" w:cs="宋体"/>
                <w:color w:val="auto"/>
                <w:szCs w:val="21"/>
              </w:rPr>
            </w:pPr>
          </w:p>
          <w:p>
            <w:pPr>
              <w:ind w:firstLine="424" w:firstLineChars="200"/>
              <w:rPr>
                <w:color w:val="auto"/>
                <w:szCs w:val="21"/>
              </w:rPr>
            </w:pPr>
          </w:p>
          <w:p>
            <w:pPr>
              <w:ind w:firstLine="424" w:firstLineChars="200"/>
              <w:rPr>
                <w:color w:val="auto"/>
                <w:szCs w:val="21"/>
              </w:rPr>
            </w:pPr>
          </w:p>
          <w:p>
            <w:pPr>
              <w:ind w:firstLine="424" w:firstLineChars="200"/>
              <w:rPr>
                <w:color w:val="auto"/>
                <w:szCs w:val="21"/>
              </w:rPr>
            </w:pPr>
          </w:p>
          <w:p>
            <w:pPr>
              <w:ind w:firstLine="424" w:firstLineChars="200"/>
              <w:rPr>
                <w:color w:val="auto"/>
                <w:szCs w:val="21"/>
              </w:rPr>
            </w:pPr>
          </w:p>
          <w:p>
            <w:pPr>
              <w:ind w:firstLine="424" w:firstLineChars="20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4</w:t>
            </w:r>
            <w:r>
              <w:rPr>
                <w:rFonts w:hint="eastAsia"/>
                <w:color w:val="auto"/>
                <w:spacing w:val="-10"/>
                <w:szCs w:val="21"/>
              </w:rPr>
              <w:t>年汕头市辖区内本银行的信贷资产质量水平，不良贷款等违约基本情况说明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4" w:firstLineChars="200"/>
              <w:rPr>
                <w:color w:val="auto"/>
                <w:szCs w:val="21"/>
              </w:rPr>
            </w:pPr>
          </w:p>
          <w:p>
            <w:pPr>
              <w:ind w:firstLine="424" w:firstLineChars="200"/>
              <w:rPr>
                <w:color w:val="auto"/>
                <w:szCs w:val="21"/>
              </w:rPr>
            </w:pPr>
          </w:p>
          <w:p>
            <w:pPr>
              <w:ind w:firstLine="424" w:firstLineChars="200"/>
              <w:rPr>
                <w:color w:val="auto"/>
                <w:szCs w:val="21"/>
              </w:rPr>
            </w:pPr>
          </w:p>
          <w:p>
            <w:pPr>
              <w:ind w:firstLine="424" w:firstLineChars="200"/>
              <w:rPr>
                <w:color w:val="auto"/>
                <w:szCs w:val="21"/>
              </w:rPr>
            </w:pPr>
          </w:p>
          <w:p>
            <w:pPr>
              <w:ind w:firstLine="424" w:firstLineChars="200"/>
              <w:rPr>
                <w:color w:val="auto"/>
                <w:szCs w:val="21"/>
              </w:rPr>
            </w:pPr>
          </w:p>
          <w:p>
            <w:pPr>
              <w:ind w:firstLine="424" w:firstLineChars="200"/>
              <w:rPr>
                <w:color w:val="auto"/>
                <w:szCs w:val="21"/>
              </w:rPr>
            </w:pPr>
          </w:p>
          <w:p>
            <w:pPr>
              <w:ind w:firstLine="424" w:firstLineChars="200"/>
              <w:rPr>
                <w:color w:val="auto"/>
                <w:szCs w:val="21"/>
              </w:rPr>
            </w:pPr>
          </w:p>
          <w:p>
            <w:pPr>
              <w:ind w:firstLine="424" w:firstLineChars="20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left"/>
              <w:rPr>
                <w:b/>
                <w:color w:val="auto"/>
                <w:spacing w:val="-8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pacing w:val="-8"/>
                <w:sz w:val="28"/>
                <w:szCs w:val="28"/>
              </w:rPr>
              <w:t>二</w:t>
            </w:r>
            <w:r>
              <w:rPr>
                <w:b/>
                <w:color w:val="auto"/>
                <w:spacing w:val="-8"/>
                <w:sz w:val="28"/>
                <w:szCs w:val="28"/>
              </w:rPr>
              <w:t>、</w:t>
            </w:r>
            <w:r>
              <w:rPr>
                <w:rFonts w:hint="eastAsia"/>
                <w:b/>
                <w:color w:val="auto"/>
                <w:spacing w:val="-8"/>
                <w:sz w:val="28"/>
                <w:szCs w:val="28"/>
              </w:rPr>
              <w:t>科技型企业金融产品相关情况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科技型企业金融</w:t>
            </w:r>
          </w:p>
          <w:p>
            <w:pPr>
              <w:adjustRightInd w:val="0"/>
              <w:snapToGrid w:val="0"/>
              <w:spacing w:beforeLines="2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主导产品</w:t>
            </w: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产品名称</w:t>
            </w:r>
          </w:p>
        </w:tc>
        <w:tc>
          <w:tcPr>
            <w:tcW w:w="4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pacing w:val="-8"/>
                <w:szCs w:val="21"/>
              </w:rPr>
              <w:t>上年度销售额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color w:val="auto"/>
                <w:szCs w:val="21"/>
              </w:rPr>
            </w:pPr>
          </w:p>
        </w:tc>
        <w:tc>
          <w:tcPr>
            <w:tcW w:w="4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right"/>
              <w:rPr>
                <w:color w:val="auto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color w:val="auto"/>
                <w:szCs w:val="21"/>
              </w:rPr>
            </w:pPr>
          </w:p>
        </w:tc>
        <w:tc>
          <w:tcPr>
            <w:tcW w:w="4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right"/>
              <w:rPr>
                <w:color w:val="auto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color w:val="auto"/>
                <w:szCs w:val="21"/>
              </w:rPr>
            </w:pPr>
          </w:p>
        </w:tc>
        <w:tc>
          <w:tcPr>
            <w:tcW w:w="4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20"/>
              <w:jc w:val="right"/>
              <w:rPr>
                <w:color w:val="auto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近三年来科技型企业金融</w:t>
            </w:r>
            <w:r>
              <w:rPr>
                <w:color w:val="auto"/>
                <w:szCs w:val="21"/>
              </w:rPr>
              <w:t>产品</w:t>
            </w:r>
            <w:r>
              <w:rPr>
                <w:rFonts w:hint="eastAsia"/>
                <w:color w:val="auto"/>
                <w:szCs w:val="21"/>
              </w:rPr>
              <w:t>开发数量，及运营</w:t>
            </w:r>
            <w:r>
              <w:rPr>
                <w:color w:val="auto"/>
                <w:szCs w:val="21"/>
              </w:rPr>
              <w:t>水平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办理效率，审贷及放贷的平均时长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出现坏账时风险追偿机制及实施办法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8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与政府合作的</w:t>
            </w:r>
            <w:r>
              <w:rPr>
                <w:color w:val="auto"/>
                <w:szCs w:val="21"/>
              </w:rPr>
              <w:t>项目</w:t>
            </w:r>
            <w:r>
              <w:rPr>
                <w:rFonts w:hint="eastAsia"/>
                <w:color w:val="auto"/>
                <w:szCs w:val="21"/>
              </w:rPr>
              <w:t>情况说明（限广东省内，请尽量详细）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adjustRightInd w:val="0"/>
              <w:snapToGrid w:val="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8"/>
                <w:szCs w:val="28"/>
              </w:rPr>
              <w:t>三、其他</w:t>
            </w:r>
            <w:r>
              <w:rPr>
                <w:color w:val="auto"/>
                <w:kern w:val="0"/>
                <w:szCs w:val="21"/>
              </w:rPr>
              <w:t>（</w:t>
            </w:r>
            <w:r>
              <w:rPr>
                <w:rFonts w:hint="eastAsia"/>
                <w:color w:val="auto"/>
                <w:kern w:val="0"/>
                <w:szCs w:val="21"/>
              </w:rPr>
              <w:t>本银行的运营情况、产品优势及其他需要补充说明的情况</w:t>
            </w:r>
            <w:r>
              <w:rPr>
                <w:color w:val="auto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ind w:firstLine="424" w:firstLineChars="200"/>
              <w:rPr>
                <w:rFonts w:ascii="宋体" w:cs="宋体"/>
                <w:color w:val="auto"/>
                <w:szCs w:val="21"/>
              </w:rPr>
            </w:pPr>
          </w:p>
          <w:p>
            <w:pPr>
              <w:widowControl/>
              <w:snapToGrid w:val="0"/>
              <w:ind w:firstLine="424" w:firstLineChars="200"/>
              <w:rPr>
                <w:rFonts w:ascii="宋体" w:cs="宋体"/>
                <w:color w:val="auto"/>
                <w:szCs w:val="21"/>
              </w:rPr>
            </w:pPr>
          </w:p>
          <w:p>
            <w:pPr>
              <w:widowControl/>
              <w:snapToGrid w:val="0"/>
              <w:ind w:firstLine="424" w:firstLineChars="200"/>
              <w:rPr>
                <w:rFonts w:ascii="宋体" w:cs="宋体"/>
                <w:color w:val="auto"/>
                <w:szCs w:val="21"/>
              </w:rPr>
            </w:pPr>
          </w:p>
          <w:p>
            <w:pPr>
              <w:widowControl/>
              <w:snapToGrid w:val="0"/>
              <w:ind w:firstLine="424" w:firstLineChars="200"/>
              <w:rPr>
                <w:rFonts w:ascii="宋体" w:cs="宋体"/>
                <w:color w:val="auto"/>
                <w:szCs w:val="21"/>
              </w:rPr>
            </w:pPr>
          </w:p>
          <w:p>
            <w:pPr>
              <w:widowControl/>
              <w:snapToGrid w:val="0"/>
              <w:ind w:firstLine="424" w:firstLineChars="200"/>
              <w:rPr>
                <w:rFonts w:ascii="宋体" w:cs="宋体"/>
                <w:color w:val="auto"/>
                <w:szCs w:val="21"/>
              </w:rPr>
            </w:pPr>
          </w:p>
          <w:p>
            <w:pPr>
              <w:widowControl/>
              <w:snapToGrid w:val="0"/>
              <w:ind w:firstLine="424" w:firstLineChars="200"/>
              <w:rPr>
                <w:rFonts w:ascii="宋体" w:cs="宋体"/>
                <w:color w:val="auto"/>
                <w:szCs w:val="21"/>
              </w:rPr>
            </w:pPr>
          </w:p>
          <w:p>
            <w:pPr>
              <w:widowControl/>
              <w:snapToGrid w:val="0"/>
              <w:ind w:firstLine="424" w:firstLineChars="200"/>
              <w:rPr>
                <w:rFonts w:ascii="宋体" w:cs="宋体"/>
                <w:color w:val="auto"/>
                <w:szCs w:val="21"/>
              </w:rPr>
            </w:pPr>
          </w:p>
          <w:p>
            <w:pPr>
              <w:widowControl/>
              <w:snapToGrid w:val="0"/>
              <w:ind w:firstLine="424" w:firstLineChars="200"/>
              <w:rPr>
                <w:rFonts w:ascii="宋体" w:cs="宋体"/>
                <w:color w:val="auto"/>
                <w:szCs w:val="21"/>
              </w:rPr>
            </w:pPr>
          </w:p>
          <w:p>
            <w:pPr>
              <w:widowControl/>
              <w:snapToGrid w:val="0"/>
              <w:ind w:firstLine="424" w:firstLineChars="20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8"/>
                <w:szCs w:val="28"/>
              </w:rPr>
              <w:t>四、申报机构承诺意见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640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auto"/>
                <w:kern w:val="0"/>
                <w:sz w:val="28"/>
                <w:szCs w:val="28"/>
              </w:rPr>
              <w:t>承诺</w:t>
            </w:r>
            <w:r>
              <w:rPr>
                <w:rFonts w:hint="eastAsia" w:ascii="宋体" w:cs="宋体"/>
                <w:color w:val="auto"/>
                <w:kern w:val="0"/>
                <w:sz w:val="28"/>
                <w:szCs w:val="28"/>
                <w:lang w:val="zh-CN"/>
              </w:rPr>
              <w:t>本企业提供的资料均合法、有效、准确、真实、完整，无涉密信息，本企业愿为此承担有关法律责任。</w:t>
            </w:r>
          </w:p>
          <w:p>
            <w:pPr>
              <w:spacing w:line="300" w:lineRule="exac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</w:rPr>
              <w:t xml:space="preserve"> 法人代表（签章）：                            </w:t>
            </w:r>
            <w:r>
              <w:rPr>
                <w:color w:val="auto"/>
                <w:kern w:val="0"/>
                <w:sz w:val="22"/>
                <w:szCs w:val="22"/>
              </w:rPr>
              <w:t xml:space="preserve">  申报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银行</w:t>
            </w:r>
            <w:r>
              <w:rPr>
                <w:color w:val="auto"/>
                <w:kern w:val="0"/>
                <w:sz w:val="22"/>
                <w:szCs w:val="22"/>
              </w:rPr>
              <w:t>（盖章）</w:t>
            </w:r>
          </w:p>
          <w:p>
            <w:pPr>
              <w:widowControl/>
              <w:snapToGrid w:val="0"/>
              <w:rPr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napToGrid w:val="0"/>
              <w:ind w:firstLine="4218" w:firstLineChars="1900"/>
              <w:rPr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napToGrid w:val="0"/>
              <w:ind w:firstLine="5550" w:firstLineChars="2500"/>
              <w:rPr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</w:rPr>
              <w:t xml:space="preserve">日期：  年   月    日 </w:t>
            </w:r>
          </w:p>
        </w:tc>
      </w:tr>
    </w:tbl>
    <w:p>
      <w:pPr>
        <w:adjustRightInd w:val="0"/>
        <w:snapToGrid w:val="0"/>
        <w:jc w:val="left"/>
        <w:rPr>
          <w:rFonts w:asci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eastAsia="方正仿宋_GBK" w:cs="方正仿宋_GBK"/>
          <w:b/>
          <w:bCs/>
          <w:color w:val="auto"/>
          <w:sz w:val="28"/>
          <w:szCs w:val="21"/>
        </w:rPr>
        <w:t>注</w:t>
      </w:r>
      <w:r>
        <w:rPr>
          <w:rFonts w:hint="eastAsia" w:ascii="方正仿宋_GBK" w:eastAsia="方正仿宋_GBK" w:cs="方正仿宋_GBK"/>
          <w:color w:val="auto"/>
          <w:sz w:val="28"/>
          <w:szCs w:val="21"/>
        </w:rPr>
        <w:t>：</w:t>
      </w:r>
      <w:r>
        <w:rPr>
          <w:rFonts w:ascii="Times New Roman" w:hAnsi="Times New Roman" w:eastAsia="方正仿宋_GBK" w:cs="Times New Roman"/>
          <w:color w:val="auto"/>
          <w:sz w:val="28"/>
          <w:szCs w:val="28"/>
        </w:rPr>
        <w:t>1</w:t>
      </w:r>
      <w:r>
        <w:rPr>
          <w:rFonts w:hint="eastAsia" w:ascii="方正仿宋_GBK" w:eastAsia="方正仿宋_GBK" w:cs="方正仿宋_GBK"/>
          <w:color w:val="auto"/>
          <w:sz w:val="28"/>
          <w:szCs w:val="28"/>
        </w:rPr>
        <w:t>.请提供营业执照复印件（盖章）。</w:t>
      </w:r>
    </w:p>
    <w:p>
      <w:pPr>
        <w:adjustRightInd w:val="0"/>
        <w:snapToGrid w:val="0"/>
        <w:ind w:firstLine="564" w:firstLineChars="200"/>
        <w:rPr>
          <w:rFonts w:ascii="方正仿宋_GBK" w:eastAsia="方正仿宋_GBK" w:cs="方正仿宋_GBK"/>
          <w:color w:val="auto"/>
          <w:sz w:val="28"/>
          <w:szCs w:val="28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</w:rPr>
        <w:t>2</w:t>
      </w:r>
      <w:r>
        <w:rPr>
          <w:rFonts w:hint="eastAsia" w:ascii="方正仿宋_GBK" w:eastAsia="方正仿宋_GBK" w:cs="方正仿宋_GBK"/>
          <w:color w:val="auto"/>
          <w:sz w:val="28"/>
          <w:szCs w:val="28"/>
        </w:rPr>
        <w:t>.表格中填写的指标数据应提供相应的佐证材料。</w:t>
      </w:r>
    </w:p>
    <w:p>
      <w:pPr>
        <w:adjustRightInd w:val="0"/>
        <w:snapToGrid w:val="0"/>
        <w:ind w:left="845" w:leftChars="266" w:hanging="282" w:hangingChars="100"/>
        <w:rPr>
          <w:rFonts w:ascii="方正仿宋_GBK" w:eastAsia="方正仿宋_GBK" w:cs="方正仿宋_GBK"/>
          <w:color w:val="auto"/>
          <w:sz w:val="28"/>
          <w:szCs w:val="28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</w:rPr>
        <w:t>3</w:t>
      </w:r>
      <w:r>
        <w:rPr>
          <w:rFonts w:hint="eastAsia" w:ascii="方正仿宋_GBK" w:eastAsia="方正仿宋_GBK" w:cs="方正仿宋_GBK"/>
          <w:color w:val="auto"/>
          <w:sz w:val="28"/>
          <w:szCs w:val="28"/>
        </w:rPr>
        <w:t>.本申报书中“科技型企业”相关指标的统计口径为高新技术企业、科技型中小企业和“专精特新”企业。</w:t>
      </w:r>
    </w:p>
    <w:p>
      <w:pPr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701" w:bottom="1440" w:left="1281" w:header="851" w:footer="992" w:gutter="0"/>
      <w:cols w:space="0" w:num="1"/>
      <w:docGrid w:type="linesAndChars" w:linePitch="31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长城小标宋体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ind w:right="210" w:rightChars="100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3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ind w:left="210" w:leftChars="100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4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06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EyY2FlNzk0NDVlYjUyNjUyOWFkY2Y1MTczZmIzN2YifQ=="/>
  </w:docVars>
  <w:rsids>
    <w:rsidRoot w:val="005D546B"/>
    <w:rsid w:val="000520E4"/>
    <w:rsid w:val="000D4885"/>
    <w:rsid w:val="00133860"/>
    <w:rsid w:val="001456A3"/>
    <w:rsid w:val="0017507F"/>
    <w:rsid w:val="00237A0A"/>
    <w:rsid w:val="002F1537"/>
    <w:rsid w:val="00391A90"/>
    <w:rsid w:val="005405E7"/>
    <w:rsid w:val="005D0CE0"/>
    <w:rsid w:val="005D546B"/>
    <w:rsid w:val="006931BD"/>
    <w:rsid w:val="00700C67"/>
    <w:rsid w:val="0071644F"/>
    <w:rsid w:val="007B229A"/>
    <w:rsid w:val="007B2F08"/>
    <w:rsid w:val="00875C76"/>
    <w:rsid w:val="009566AB"/>
    <w:rsid w:val="00A4424F"/>
    <w:rsid w:val="00B001E0"/>
    <w:rsid w:val="00B13D63"/>
    <w:rsid w:val="00C43F7B"/>
    <w:rsid w:val="00CB1BD4"/>
    <w:rsid w:val="00D717AA"/>
    <w:rsid w:val="00E0073D"/>
    <w:rsid w:val="00E05690"/>
    <w:rsid w:val="00E439EB"/>
    <w:rsid w:val="00EF20E1"/>
    <w:rsid w:val="00FE1242"/>
    <w:rsid w:val="05C6318B"/>
    <w:rsid w:val="07D7F10A"/>
    <w:rsid w:val="0B373548"/>
    <w:rsid w:val="0E064130"/>
    <w:rsid w:val="0E413010"/>
    <w:rsid w:val="0FEB395D"/>
    <w:rsid w:val="175F24B4"/>
    <w:rsid w:val="1BFF3364"/>
    <w:rsid w:val="1CAA18A3"/>
    <w:rsid w:val="1F0E4537"/>
    <w:rsid w:val="1F5DD20C"/>
    <w:rsid w:val="202150E4"/>
    <w:rsid w:val="21E8421C"/>
    <w:rsid w:val="27F33EBC"/>
    <w:rsid w:val="28651C55"/>
    <w:rsid w:val="290439E8"/>
    <w:rsid w:val="29595873"/>
    <w:rsid w:val="2CCF04B2"/>
    <w:rsid w:val="2E576A4E"/>
    <w:rsid w:val="2F775733"/>
    <w:rsid w:val="30EC13CE"/>
    <w:rsid w:val="312D09C4"/>
    <w:rsid w:val="32D00B58"/>
    <w:rsid w:val="366F0C30"/>
    <w:rsid w:val="36F540A1"/>
    <w:rsid w:val="37C2475F"/>
    <w:rsid w:val="37DE7FD3"/>
    <w:rsid w:val="3ABEC79D"/>
    <w:rsid w:val="3C0B0C53"/>
    <w:rsid w:val="3C7A580E"/>
    <w:rsid w:val="3CF57A8D"/>
    <w:rsid w:val="3D580050"/>
    <w:rsid w:val="3D92248E"/>
    <w:rsid w:val="3F5797D9"/>
    <w:rsid w:val="3F860BA6"/>
    <w:rsid w:val="3FB55992"/>
    <w:rsid w:val="3FBC9C9F"/>
    <w:rsid w:val="41FE79C9"/>
    <w:rsid w:val="43AC271D"/>
    <w:rsid w:val="46D8065E"/>
    <w:rsid w:val="4F9506F5"/>
    <w:rsid w:val="4FF508A9"/>
    <w:rsid w:val="51FED7AB"/>
    <w:rsid w:val="52EB4CCE"/>
    <w:rsid w:val="552F0EB4"/>
    <w:rsid w:val="59EFFEDD"/>
    <w:rsid w:val="5AD325D0"/>
    <w:rsid w:val="5BD462C2"/>
    <w:rsid w:val="5CF6BD55"/>
    <w:rsid w:val="5D6D6EC5"/>
    <w:rsid w:val="5E3F5D17"/>
    <w:rsid w:val="5EFA7CCD"/>
    <w:rsid w:val="5F0F553F"/>
    <w:rsid w:val="5F7F7962"/>
    <w:rsid w:val="5FF4D25E"/>
    <w:rsid w:val="61A756A0"/>
    <w:rsid w:val="66FDDDD1"/>
    <w:rsid w:val="672F14F1"/>
    <w:rsid w:val="67BD77AE"/>
    <w:rsid w:val="69C413E8"/>
    <w:rsid w:val="6A294057"/>
    <w:rsid w:val="6ADFBFFC"/>
    <w:rsid w:val="6BF7FDEC"/>
    <w:rsid w:val="6D4DA003"/>
    <w:rsid w:val="6D7A376B"/>
    <w:rsid w:val="6F6F8496"/>
    <w:rsid w:val="6FAF2FF4"/>
    <w:rsid w:val="6FB7BC17"/>
    <w:rsid w:val="6FBF910E"/>
    <w:rsid w:val="6FD16EE4"/>
    <w:rsid w:val="6FDB6418"/>
    <w:rsid w:val="6FF9AC84"/>
    <w:rsid w:val="70507839"/>
    <w:rsid w:val="70CC29AF"/>
    <w:rsid w:val="72B4181E"/>
    <w:rsid w:val="72CF7D99"/>
    <w:rsid w:val="74772F59"/>
    <w:rsid w:val="757DE146"/>
    <w:rsid w:val="75B71BE3"/>
    <w:rsid w:val="76AD5E0C"/>
    <w:rsid w:val="76F5EED1"/>
    <w:rsid w:val="76F929BC"/>
    <w:rsid w:val="77F57610"/>
    <w:rsid w:val="79D74B0A"/>
    <w:rsid w:val="7A75A518"/>
    <w:rsid w:val="7BCDD48F"/>
    <w:rsid w:val="7CAE52DE"/>
    <w:rsid w:val="7CB7AF67"/>
    <w:rsid w:val="7CEDA586"/>
    <w:rsid w:val="7CFF53D5"/>
    <w:rsid w:val="7D3B62F2"/>
    <w:rsid w:val="7D8FB8ED"/>
    <w:rsid w:val="7D9BA9DF"/>
    <w:rsid w:val="7EBF20C3"/>
    <w:rsid w:val="7EFF719A"/>
    <w:rsid w:val="7F4FE2A1"/>
    <w:rsid w:val="7F759FF2"/>
    <w:rsid w:val="7F7D58EC"/>
    <w:rsid w:val="7F7E859D"/>
    <w:rsid w:val="7F8F4B9C"/>
    <w:rsid w:val="7FD70FC1"/>
    <w:rsid w:val="7FEB479B"/>
    <w:rsid w:val="7FF1A055"/>
    <w:rsid w:val="7FF3AE2D"/>
    <w:rsid w:val="7FFF3C24"/>
    <w:rsid w:val="7FFFA2AE"/>
    <w:rsid w:val="8F9F59BC"/>
    <w:rsid w:val="9D4B5CFF"/>
    <w:rsid w:val="9F7F1CD6"/>
    <w:rsid w:val="9FEE957D"/>
    <w:rsid w:val="9FFF6732"/>
    <w:rsid w:val="A7AEFBB0"/>
    <w:rsid w:val="A7DD3655"/>
    <w:rsid w:val="A9BBADF4"/>
    <w:rsid w:val="AAFF4C55"/>
    <w:rsid w:val="AD699455"/>
    <w:rsid w:val="AFFF35C2"/>
    <w:rsid w:val="AFFF45A9"/>
    <w:rsid w:val="B3AA446C"/>
    <w:rsid w:val="B4F4E124"/>
    <w:rsid w:val="B6FBF05E"/>
    <w:rsid w:val="BA7B23C6"/>
    <w:rsid w:val="BBDFF3EF"/>
    <w:rsid w:val="BCF33BF5"/>
    <w:rsid w:val="BCFF85BF"/>
    <w:rsid w:val="BD1E1C47"/>
    <w:rsid w:val="BE7BCCE4"/>
    <w:rsid w:val="BEBDA954"/>
    <w:rsid w:val="BEF727AB"/>
    <w:rsid w:val="BEFD3C8B"/>
    <w:rsid w:val="BF73D831"/>
    <w:rsid w:val="BF7F5BEA"/>
    <w:rsid w:val="BFAFDC5C"/>
    <w:rsid w:val="BFE43ABF"/>
    <w:rsid w:val="D4F30162"/>
    <w:rsid w:val="DCFDE552"/>
    <w:rsid w:val="DE54C4B7"/>
    <w:rsid w:val="DEEFAD1C"/>
    <w:rsid w:val="DFBE093E"/>
    <w:rsid w:val="DFFB6B77"/>
    <w:rsid w:val="DFFD123F"/>
    <w:rsid w:val="E3FF8943"/>
    <w:rsid w:val="E4E72A79"/>
    <w:rsid w:val="E67B5EFD"/>
    <w:rsid w:val="E6EB2E81"/>
    <w:rsid w:val="E7FD97B6"/>
    <w:rsid w:val="E9F71EFB"/>
    <w:rsid w:val="EBF733EF"/>
    <w:rsid w:val="EBFF66C8"/>
    <w:rsid w:val="EBFF74FE"/>
    <w:rsid w:val="EDBE5ADE"/>
    <w:rsid w:val="EF7B2C28"/>
    <w:rsid w:val="EFFF2BFC"/>
    <w:rsid w:val="F17EE865"/>
    <w:rsid w:val="F3E33850"/>
    <w:rsid w:val="F5B98093"/>
    <w:rsid w:val="F7EC6F6C"/>
    <w:rsid w:val="FA6D80C7"/>
    <w:rsid w:val="FA9BBC10"/>
    <w:rsid w:val="FAF7FF3B"/>
    <w:rsid w:val="FAFFABA4"/>
    <w:rsid w:val="FB7F8304"/>
    <w:rsid w:val="FBE9BBF5"/>
    <w:rsid w:val="FC1FF857"/>
    <w:rsid w:val="FC5F0AD1"/>
    <w:rsid w:val="FCE59ECE"/>
    <w:rsid w:val="FD6DD496"/>
    <w:rsid w:val="FDB72487"/>
    <w:rsid w:val="FDE818F8"/>
    <w:rsid w:val="FE734873"/>
    <w:rsid w:val="FEF7947D"/>
    <w:rsid w:val="FF2E0F66"/>
    <w:rsid w:val="FFD37911"/>
    <w:rsid w:val="FFEF0AB3"/>
    <w:rsid w:val="FFFEE5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ind w:firstLine="640"/>
      <w:outlineLvl w:val="2"/>
    </w:pPr>
    <w:rPr>
      <w:rFonts w:ascii="Times New Roman" w:hAnsi="Times New Roman" w:eastAsia="方正仿宋简体"/>
      <w:b/>
      <w:kern w:val="0"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12">
    <w:name w:val="font81"/>
    <w:basedOn w:val="10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12</Pages>
  <Words>2904</Words>
  <Characters>3137</Characters>
  <Lines>27</Lines>
  <Paragraphs>7</Paragraphs>
  <TotalTime>27</TotalTime>
  <ScaleCrop>false</ScaleCrop>
  <LinksUpToDate>false</LinksUpToDate>
  <CharactersWithSpaces>3197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2025-02-27T17:30:00Z</dcterms:created>
  <dc:creator>huawei</dc:creator>
  <cp:lastModifiedBy>huawei</cp:lastModifiedBy>
  <cp:lastPrinted>2025-10-16T09:58:20Z</cp:lastPrinted>
  <dcterms:modified xsi:type="dcterms:W3CDTF">2025-10-16T10:10:56Z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434F80B4A14C45088CDCC2D44F466D03_13</vt:lpwstr>
  </property>
  <property fmtid="{D5CDD505-2E9C-101B-9397-08002B2CF9AE}" pid="4" name="KSOTemplateDocerSaveRecord">
    <vt:lpwstr>eyJoZGlkIjoiMGVmYmI2ZWM0ZTA4NzhlZjA3ZTI1N2NiOTUxMmVkNTIifQ==</vt:lpwstr>
  </property>
</Properties>
</file>