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96"/>
          <w:tab w:val="left" w:pos="1494"/>
        </w:tabs>
        <w:spacing w:before="156" w:after="156"/>
        <w:jc w:val="center"/>
        <w:rPr>
          <w:rFonts w:hint="eastAsia" w:ascii="黑体" w:hAnsi="黑体" w:eastAsia="黑体"/>
          <w:b/>
          <w:bCs/>
          <w:sz w:val="32"/>
          <w:szCs w:val="32"/>
          <w:lang w:eastAsia="zh-CN"/>
        </w:rPr>
      </w:pPr>
      <w:bookmarkStart w:id="0" w:name="_Toc9603595"/>
      <w:bookmarkStart w:id="1" w:name="_Toc3466719"/>
      <w:bookmarkStart w:id="2" w:name="_Toc3467178"/>
      <w:bookmarkStart w:id="3" w:name="_Toc2262117"/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汕头市珠湖加工区三旧改造控制性详细规划（修编） （LH-03208 控制单元）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》</w:t>
      </w:r>
    </w:p>
    <w:p>
      <w:pPr>
        <w:tabs>
          <w:tab w:val="left" w:pos="996"/>
          <w:tab w:val="left" w:pos="1494"/>
        </w:tabs>
        <w:spacing w:before="156" w:after="156"/>
        <w:jc w:val="center"/>
        <w:rPr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简介</w:t>
      </w:r>
    </w:p>
    <w:bookmarkEnd w:id="0"/>
    <w:bookmarkEnd w:id="1"/>
    <w:bookmarkEnd w:id="2"/>
    <w:bookmarkEnd w:id="3"/>
    <w:p>
      <w:pPr>
        <w:pStyle w:val="3"/>
        <w:tabs>
          <w:tab w:val="left" w:pos="996"/>
          <w:tab w:val="left" w:pos="1494"/>
          <w:tab w:val="clear" w:pos="1134"/>
        </w:tabs>
        <w:spacing w:before="156" w:after="156"/>
        <w:rPr>
          <w:b/>
          <w:bCs/>
        </w:rPr>
      </w:pPr>
      <w:r>
        <w:rPr>
          <w:rFonts w:hint="eastAsia"/>
          <w:b/>
          <w:bCs/>
        </w:rPr>
        <w:t>规划范围</w:t>
      </w:r>
    </w:p>
    <w:p>
      <w:pPr>
        <w:spacing w:before="100" w:beforeAutospacing="1" w:after="100" w:afterAutospacing="1"/>
        <w:ind w:firstLine="480" w:firstLineChars="200"/>
        <w:rPr>
          <w:kern w:val="0"/>
          <w:szCs w:val="20"/>
          <w:lang w:val="zh-CN"/>
        </w:rPr>
      </w:pPr>
      <w:r>
        <w:rPr>
          <w:rFonts w:hint="eastAsia"/>
          <w:kern w:val="0"/>
          <w:szCs w:val="20"/>
          <w:lang w:val="en-US" w:eastAsia="zh-CN"/>
        </w:rPr>
        <w:t>本次控规范围在龙湖区控规全覆盖中为龙湖区 LH-032编制单元的08控制单元，具体范围为东至衡山路，西至林百欣中学东侧围墙，南至珠池路，北至规划小区路，规划区用地面积 11.05公顷（165.75亩）。</w:t>
      </w:r>
    </w:p>
    <w:p>
      <w:pPr>
        <w:pStyle w:val="3"/>
        <w:tabs>
          <w:tab w:val="left" w:pos="996"/>
          <w:tab w:val="left" w:pos="1494"/>
          <w:tab w:val="clear" w:pos="1134"/>
        </w:tabs>
        <w:spacing w:before="156" w:after="156"/>
        <w:rPr>
          <w:b/>
          <w:bCs/>
        </w:rPr>
      </w:pPr>
      <w:bookmarkStart w:id="4" w:name="_Toc3467185"/>
      <w:bookmarkStart w:id="5" w:name="_Toc9603603"/>
      <w:bookmarkStart w:id="6" w:name="_Toc2262126"/>
      <w:bookmarkStart w:id="7" w:name="_Toc3466726"/>
      <w:bookmarkStart w:id="8" w:name="_Hlk7341402"/>
      <w:r>
        <w:rPr>
          <w:rFonts w:hint="eastAsia"/>
          <w:b/>
          <w:bCs/>
        </w:rPr>
        <w:t>功能定位</w:t>
      </w:r>
      <w:bookmarkEnd w:id="4"/>
      <w:bookmarkEnd w:id="5"/>
      <w:bookmarkEnd w:id="6"/>
      <w:bookmarkEnd w:id="7"/>
    </w:p>
    <w:p>
      <w:pPr>
        <w:spacing w:before="100" w:beforeAutospacing="1" w:after="100" w:afterAutospacing="1"/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用地功能定位为：布局合理，配套完善，兼有居住、公共服务功能的生活综合区。 </w:t>
      </w:r>
    </w:p>
    <w:p>
      <w:pPr>
        <w:pStyle w:val="3"/>
        <w:tabs>
          <w:tab w:val="left" w:pos="996"/>
          <w:tab w:val="left" w:pos="1494"/>
          <w:tab w:val="clear" w:pos="1134"/>
        </w:tabs>
        <w:spacing w:before="156" w:after="156"/>
        <w:rPr>
          <w:b/>
          <w:bCs/>
        </w:rPr>
      </w:pPr>
      <w:r>
        <w:rPr>
          <w:rFonts w:hint="eastAsia"/>
          <w:b/>
          <w:bCs/>
          <w:lang w:eastAsia="zh-CN"/>
        </w:rPr>
        <w:t>功能布局</w:t>
      </w:r>
    </w:p>
    <w:p>
      <w:pPr>
        <w:spacing w:before="100" w:beforeAutospacing="1" w:after="100" w:afterAutospacing="1"/>
        <w:ind w:firstLine="480" w:firstLineChars="200"/>
      </w:pPr>
      <w:r>
        <w:rPr>
          <w:rFonts w:hint="eastAsia"/>
          <w:lang w:val="en-US" w:eastAsia="zh-CN"/>
        </w:rPr>
        <w:t xml:space="preserve">规划遵循汕头市城市总体规划对片区的功能要求，沿衡山路布置以商业、商 务为主的用地，规划区中间以西区域以居住用地为主，并按照三旧配套的相关规定设置肉菜市场、幼儿园、社会停车场、广场等配套设施，营造一个生活综合区。 </w:t>
      </w:r>
    </w:p>
    <w:p>
      <w:pPr>
        <w:pStyle w:val="3"/>
        <w:tabs>
          <w:tab w:val="left" w:pos="996"/>
          <w:tab w:val="left" w:pos="1494"/>
          <w:tab w:val="clear" w:pos="1134"/>
        </w:tabs>
        <w:spacing w:before="156" w:after="156"/>
        <w:rPr>
          <w:b/>
          <w:bCs/>
        </w:rPr>
      </w:pPr>
      <w:r>
        <w:rPr>
          <w:rFonts w:hint="eastAsia"/>
          <w:b/>
          <w:bCs/>
        </w:rPr>
        <w:t>发展规模</w:t>
      </w:r>
    </w:p>
    <w:bookmarkEnd w:id="8"/>
    <w:p>
      <w:pPr>
        <w:spacing w:before="100" w:beforeAutospacing="1" w:after="100" w:afterAutospacing="1"/>
        <w:ind w:firstLine="480" w:firstLineChars="200"/>
        <w:rPr>
          <w:rFonts w:hint="eastAsia"/>
          <w:kern w:val="0"/>
          <w:szCs w:val="20"/>
          <w:lang w:val="en-US" w:eastAsia="zh-CN"/>
        </w:rPr>
      </w:pPr>
      <w:r>
        <w:rPr>
          <w:rFonts w:hint="eastAsia"/>
          <w:lang w:val="zh-CN"/>
        </w:rPr>
        <w:t>法定规划区总用地面积为</w:t>
      </w:r>
      <w:r>
        <w:rPr>
          <w:rFonts w:hint="eastAsia"/>
          <w:kern w:val="0"/>
          <w:szCs w:val="20"/>
          <w:lang w:val="en-US" w:eastAsia="zh-CN"/>
        </w:rPr>
        <w:t xml:space="preserve"> 11.05公顷</w:t>
      </w:r>
      <w:bookmarkStart w:id="9" w:name="_GoBack"/>
      <w:bookmarkEnd w:id="9"/>
      <w:r>
        <w:rPr>
          <w:rFonts w:hint="eastAsia"/>
          <w:kern w:val="0"/>
          <w:szCs w:val="20"/>
          <w:lang w:val="en-US" w:eastAsia="zh-CN"/>
        </w:rPr>
        <w:t>，均为城镇建设用地。</w:t>
      </w:r>
    </w:p>
    <w:p>
      <w:pPr>
        <w:spacing w:before="100" w:beforeAutospacing="1" w:after="100" w:afterAutospacing="1"/>
        <w:ind w:firstLine="480" w:firstLineChars="200"/>
        <w:rPr>
          <w:rFonts w:hint="eastAsia"/>
          <w:kern w:val="0"/>
          <w:szCs w:val="20"/>
          <w:lang w:val="en-US" w:eastAsia="zh-CN"/>
        </w:rPr>
      </w:pPr>
      <w:r>
        <w:rPr>
          <w:rFonts w:hint="eastAsia"/>
          <w:kern w:val="0"/>
          <w:szCs w:val="20"/>
          <w:lang w:val="en-US" w:eastAsia="zh-CN"/>
        </w:rPr>
        <w:t xml:space="preserve">规划住宅和商住用地净用地面积分别为 4.14 公顷、1.57公顷，根据有关法规、规章、技术规范及市政府相关文件，经测算居住人口约0.49万人。 </w:t>
      </w:r>
    </w:p>
    <w:p>
      <w:pPr>
        <w:keepNext w:val="0"/>
        <w:keepLines w:val="0"/>
        <w:widowControl/>
        <w:suppressLineNumbers w:val="0"/>
        <w:jc w:val="left"/>
      </w:pPr>
    </w:p>
    <w:p>
      <w:pPr>
        <w:spacing w:before="100" w:beforeAutospacing="1" w:after="100" w:afterAutospacing="1"/>
        <w:ind w:firstLine="480" w:firstLineChars="200"/>
        <w:rPr>
          <w:kern w:val="0"/>
          <w:szCs w:val="20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47F5A"/>
    <w:multiLevelType w:val="multilevel"/>
    <w:tmpl w:val="69047F5A"/>
    <w:lvl w:ilvl="0" w:tentative="0">
      <w:start w:val="1"/>
      <w:numFmt w:val="japaneseCounting"/>
      <w:pStyle w:val="2"/>
      <w:lvlText w:val="第%1章"/>
      <w:lvlJc w:val="left"/>
      <w:pPr>
        <w:tabs>
          <w:tab w:val="left" w:pos="1401"/>
        </w:tabs>
        <w:ind w:left="1401" w:hanging="140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841"/>
        </w:tabs>
        <w:ind w:left="841" w:hanging="420"/>
      </w:pPr>
      <w:rPr>
        <w:rFonts w:hint="default"/>
      </w:rPr>
    </w:lvl>
    <w:lvl w:ilvl="2" w:tentative="0">
      <w:start w:val="1"/>
      <w:numFmt w:val="decimal"/>
      <w:lvlText w:val="%3．"/>
      <w:lvlJc w:val="left"/>
      <w:pPr>
        <w:tabs>
          <w:tab w:val="left" w:pos="1201"/>
        </w:tabs>
        <w:ind w:left="1201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1"/>
        </w:tabs>
        <w:ind w:left="1681" w:hanging="420"/>
      </w:pPr>
      <w:rPr>
        <w:rFonts w:hint="default"/>
      </w:rPr>
    </w:lvl>
    <w:lvl w:ilvl="4" w:tentative="0">
      <w:start w:val="1"/>
      <w:numFmt w:val="decimal"/>
      <w:lvlText w:val="%5．"/>
      <w:lvlJc w:val="left"/>
      <w:pPr>
        <w:tabs>
          <w:tab w:val="left" w:pos="2041"/>
        </w:tabs>
        <w:ind w:left="2041" w:hanging="360"/>
      </w:pPr>
      <w:rPr>
        <w:rFonts w:hint="default"/>
      </w:rPr>
    </w:lvl>
    <w:lvl w:ilvl="5" w:tentative="0">
      <w:start w:val="1"/>
      <w:numFmt w:val="decimal"/>
      <w:lvlText w:val="%6."/>
      <w:lvlJc w:val="left"/>
      <w:pPr>
        <w:tabs>
          <w:tab w:val="left" w:pos="2521"/>
        </w:tabs>
        <w:ind w:left="2521" w:hanging="42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1"/>
        </w:tabs>
        <w:ind w:left="2941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1"/>
        </w:tabs>
        <w:ind w:left="3361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1"/>
        </w:tabs>
        <w:ind w:left="3781" w:hanging="420"/>
      </w:pPr>
    </w:lvl>
  </w:abstractNum>
  <w:abstractNum w:abstractNumId="1">
    <w:nsid w:val="717E2C8B"/>
    <w:multiLevelType w:val="multilevel"/>
    <w:tmpl w:val="717E2C8B"/>
    <w:lvl w:ilvl="0" w:tentative="0">
      <w:start w:val="1"/>
      <w:numFmt w:val="chineseCountingThousand"/>
      <w:pStyle w:val="3"/>
      <w:lvlText w:val="第%1条"/>
      <w:lvlJc w:val="left"/>
      <w:pPr>
        <w:tabs>
          <w:tab w:val="left" w:pos="1134"/>
        </w:tabs>
        <w:ind w:left="0" w:firstLine="0"/>
      </w:pPr>
      <w:rPr>
        <w:rFonts w:hint="default" w:ascii="黑体" w:eastAsia="黑体"/>
        <w:b/>
      </w:rPr>
    </w:lvl>
    <w:lvl w:ilvl="1" w:tentative="0">
      <w:start w:val="1"/>
      <w:numFmt w:val="decimal"/>
      <w:lvlText w:val="%2．"/>
      <w:lvlJc w:val="left"/>
      <w:pPr>
        <w:tabs>
          <w:tab w:val="left" w:pos="780"/>
        </w:tabs>
        <w:ind w:left="780" w:hanging="360"/>
      </w:pPr>
      <w:rPr>
        <w:rFonts w:hint="default"/>
        <w:b/>
      </w:rPr>
    </w:lvl>
    <w:lvl w:ilvl="2" w:tentative="0">
      <w:start w:val="1"/>
      <w:numFmt w:val="decimal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、"/>
      <w:lvlJc w:val="left"/>
      <w:pPr>
        <w:tabs>
          <w:tab w:val="left" w:pos="2055"/>
        </w:tabs>
        <w:ind w:left="2055" w:hanging="795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03"/>
    <w:rsid w:val="001D6303"/>
    <w:rsid w:val="0053495F"/>
    <w:rsid w:val="00D74993"/>
    <w:rsid w:val="00F33FF1"/>
    <w:rsid w:val="1EA405A8"/>
    <w:rsid w:val="238E75CA"/>
    <w:rsid w:val="36D8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link w:val="7"/>
    <w:qFormat/>
    <w:uiPriority w:val="10"/>
    <w:pPr>
      <w:keepNext/>
      <w:widowControl/>
      <w:numPr>
        <w:ilvl w:val="0"/>
        <w:numId w:val="1"/>
      </w:numPr>
      <w:spacing w:before="389" w:beforeLines="100" w:after="389" w:afterLines="100"/>
      <w:jc w:val="center"/>
      <w:outlineLvl w:val="0"/>
    </w:pPr>
    <w:rPr>
      <w:rFonts w:ascii="等线 Light" w:hAnsi="等线 Light" w:eastAsia="微软雅黑" w:cstheme="minorBidi"/>
      <w:bCs/>
      <w:kern w:val="28"/>
      <w:sz w:val="28"/>
      <w:szCs w:val="28"/>
    </w:rPr>
  </w:style>
  <w:style w:type="paragraph" w:customStyle="1" w:styleId="3">
    <w:name w:val="文本条文"/>
    <w:next w:val="1"/>
    <w:link w:val="6"/>
    <w:qFormat/>
    <w:uiPriority w:val="0"/>
    <w:pPr>
      <w:numPr>
        <w:ilvl w:val="0"/>
        <w:numId w:val="2"/>
      </w:numPr>
      <w:spacing w:before="194" w:beforeLines="50" w:after="194" w:afterLines="50"/>
      <w:jc w:val="both"/>
      <w:outlineLvl w:val="2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6">
    <w:name w:val="文本条文 字符"/>
    <w:link w:val="3"/>
    <w:qFormat/>
    <w:uiPriority w:val="0"/>
    <w:rPr>
      <w:rFonts w:ascii="宋体" w:hAnsi="宋体"/>
      <w:sz w:val="24"/>
      <w:szCs w:val="24"/>
    </w:rPr>
  </w:style>
  <w:style w:type="character" w:customStyle="1" w:styleId="7">
    <w:name w:val="标题 Char"/>
    <w:link w:val="2"/>
    <w:uiPriority w:val="10"/>
    <w:rPr>
      <w:rFonts w:ascii="等线 Light" w:hAnsi="等线 Light" w:eastAsia="微软雅黑"/>
      <w:bCs/>
      <w:kern w:val="28"/>
      <w:sz w:val="28"/>
      <w:szCs w:val="28"/>
    </w:rPr>
  </w:style>
  <w:style w:type="character" w:customStyle="1" w:styleId="8">
    <w:name w:val="标题 字符1"/>
    <w:basedOn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2020-06-16T03:52:00Z</dcterms:created>
  <dc:creator>user</dc:creator>
  <cp:lastModifiedBy>Administrator</cp:lastModifiedBy>
  <dcterms:modified xsi:type="dcterms:W3CDTF">2020-09-08T01:23:27Z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