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 w:val="en-US" w:eastAsia="en-US" w:bidi="ar-SA"/>
        </w:rPr>
        <w:t>附件</w:t>
      </w:r>
      <w:r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 w:val="en-US" w:eastAsia="en-US" w:bidi="ar-SA"/>
        </w:rPr>
        <w:t>2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43" w:line="219" w:lineRule="auto"/>
        <w:jc w:val="center"/>
        <w:rPr>
          <w:rFonts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  <w:lang w:val="en-US" w:eastAsia="zh-CN"/>
        </w:rPr>
        <w:t>XX有限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公司特种设备事故隐患</w:t>
      </w:r>
    </w:p>
    <w:p>
      <w:pPr>
        <w:spacing w:before="143" w:line="219" w:lineRule="auto"/>
        <w:jc w:val="center"/>
        <w:rPr>
          <w:rFonts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内部报告奖励制度</w:t>
      </w:r>
    </w:p>
    <w:p>
      <w:pPr>
        <w:pStyle w:val="3"/>
        <w:spacing w:before="129" w:line="222" w:lineRule="auto"/>
        <w:jc w:val="center"/>
      </w:pPr>
      <w:r>
        <w:rPr>
          <w:spacing w:val="18"/>
        </w:rPr>
        <w:t>(参考模版)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right="11" w:firstLine="655" w:firstLineChars="200"/>
        <w:jc w:val="left"/>
        <w:textAlignment w:val="baseline"/>
        <w:rPr>
          <w:rFonts w:ascii="黑体" w:hAnsi="黑体" w:eastAsia="黑体" w:cs="黑体"/>
          <w:spacing w:val="3"/>
        </w:rPr>
      </w:pPr>
      <w:r>
        <w:rPr>
          <w:rFonts w:ascii="黑体" w:hAnsi="黑体" w:eastAsia="黑体" w:cs="黑体"/>
          <w:b/>
          <w:bCs/>
          <w:spacing w:val="3"/>
        </w:rPr>
        <w:t>一</w:t>
      </w:r>
      <w:r>
        <w:rPr>
          <w:rFonts w:hint="eastAsia" w:ascii="黑体" w:hAnsi="黑体" w:eastAsia="黑体" w:cs="黑体"/>
          <w:b/>
          <w:bCs/>
          <w:spacing w:val="3"/>
          <w:lang w:eastAsia="zh-CN"/>
        </w:rPr>
        <w:t>、目的</w:t>
      </w:r>
      <w:r>
        <w:rPr>
          <w:rFonts w:ascii="黑体" w:hAnsi="黑体" w:eastAsia="黑体" w:cs="黑体"/>
          <w:spacing w:val="3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为落实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特种设备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安全生产主体责任，构建全员参与的安全风险防控体系，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充分调动特种设备从业人员发现和报告事故隐患的积极性，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及时发现公司生产经营场所存在的安全隐患和问题，根据《中华人民共和国安全生产法》《中华人民共和国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特种设备安全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法》《广东省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特种设备安全条例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》等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法律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法规，结合本公司实际，制定本制度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left="17" w:right="0" w:firstLine="652"/>
        <w:jc w:val="left"/>
        <w:textAlignment w:val="baseline"/>
        <w:rPr>
          <w:rFonts w:ascii="黑体" w:hAnsi="黑体" w:eastAsia="黑体" w:cs="黑体"/>
          <w:spacing w:val="3"/>
        </w:rPr>
      </w:pPr>
      <w:r>
        <w:rPr>
          <w:rFonts w:ascii="黑体" w:hAnsi="黑体" w:eastAsia="黑体" w:cs="黑体"/>
          <w:b/>
          <w:bCs/>
          <w:spacing w:val="3"/>
        </w:rPr>
        <w:t>二</w:t>
      </w:r>
      <w:r>
        <w:rPr>
          <w:rFonts w:hint="eastAsia" w:ascii="黑体" w:hAnsi="黑体" w:eastAsia="黑体" w:cs="黑体"/>
          <w:b/>
          <w:bCs/>
          <w:spacing w:val="3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适用范围</w:t>
      </w:r>
      <w:r>
        <w:rPr>
          <w:rFonts w:ascii="黑体" w:hAnsi="黑体" w:eastAsia="黑体" w:cs="黑体"/>
          <w:spacing w:val="3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本制度适用于本单位内全体从业人员，包括正式员工、劳务派遣、及临时聘用人员、以及为本单位提供服务的承包商、供应商等，对本单位生产经营过程中涉及的设备设施、作业环境、安全管理流程等方面的特种设备事故隐患内部报告和奖励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right="17" w:firstLine="675"/>
        <w:jc w:val="left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三、报告内容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人的不安全行为。包括特种设备从业人员违反安全技术规范和管理制度的行为、不执行安全生产指令、不正确使用个人劳动保护用品；管理人员违章指挥、擅自变更安全工艺和操作程序、指挥未经安全培训的劳动者或无相应资质人员作业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设施设备的不安全状态。包括生产、销售、出租、使用未取得许可生产、国家或者省明令淘汰、已经报废或者达到报废条件的特种设备；使用未按规定进行监督检验或者监督检验不合格的特种设备；超过允许工作参数使用特种设备；使用未按照规定办理使用登记的特种设备；擅自动用、调换、转移、损毁被查封、扣押的特种设备或者其主要部件；未对特种设备进行经常性维护保养和定期自行检查、未对特种设备的安全附件、安全保护装置进行定期校验、检修，并作出记录；未对特种设备及时申报并接受检验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环境的不安全因素。包括作业场所未依法办理相关审批或许可，对作业场所风险评估不足，未对作业场所进行风险监测并设置有效的安全保障，对作业场所事故隐患整改不到位；进行特种设备安装、改造、修理等作业，未按规定落实安全防护措施；在特种设备生产过程中未加强消防安全管理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安全管理存在的缺陷和漏洞。包括未组织学习《特种设备重大事故隐患判定准则（GB45067-2024）》并做好特种设备重大事故隐患排查整治工作台账；未配备具有相应资格的特种设备从业人员、使用未取得相应资格的人员从事特种设备工作、未对特种设备从业人员进行安全教育和技能培训；未建立特种设备安全技术档案或者安全技术档案不符合规定要求、未依法设置使用登记标志、定期检验标志；未制定特种设备事故应急专项预案、未开展应急演练等。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（五）鼓励特种设备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从业人员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在报告事故隐患的同时，提出整改的合理化建议。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left="17" w:firstLine="652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</w:rPr>
        <w:t>四</w:t>
      </w:r>
      <w:r>
        <w:rPr>
          <w:rFonts w:hint="eastAsia" w:ascii="黑体" w:hAnsi="黑体" w:eastAsia="黑体" w:cs="黑体"/>
          <w:b/>
          <w:bCs/>
          <w:spacing w:val="4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报告途径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安全管理部门作为公司事故隐患报告受理、查证、督促整改、落实奖励的管理部门，设立以下三种报告受理途径，并制作示范案例，确保从业人员清楚 “向谁报告、怎样报告”，在公司公共区域醒目位置张贴公布。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（一）邮箱：******；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（二）电话：******；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（三）微信：1.微信公众号：******；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249555</wp:posOffset>
                </wp:positionV>
                <wp:extent cx="59055" cy="742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7" w:lineRule="auto"/>
                              <w:ind w:left="20"/>
                              <w:rPr>
                                <w:rFonts w:ascii="宋体" w:hAnsi="宋体" w:eastAsia="宋体" w:cs="宋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6"/>
                                <w:szCs w:val="6"/>
                              </w:rPr>
                              <w:t>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19.65pt;height:5.85pt;width:4.65pt;z-index:251660288;mso-width-relative:page;mso-height-relative:page;" filled="f" stroked="f" coordsize="21600,21600" o:gfxdata="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dzQw+2QAAAAkBAAAPAAAAAAAAAAEAIAAAADgA&#10;AABkcnMvZG93bnJldi54bWxQSwECFAAUAAAACACHTuJAIowxRbkBAABvAwAADgAAAAAAAAABACAA&#10;AAA+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7" w:lineRule="auto"/>
                        <w:ind w:left="20"/>
                        <w:rPr>
                          <w:rFonts w:ascii="宋体" w:hAnsi="宋体" w:eastAsia="宋体" w:cs="宋体"/>
                          <w:sz w:val="6"/>
                          <w:szCs w:val="6"/>
                        </w:rPr>
                      </w:pPr>
                      <w:r>
                        <w:rPr>
                          <w:rFonts w:ascii="宋体" w:hAnsi="宋体" w:eastAsia="宋体" w:cs="宋体"/>
                          <w:sz w:val="6"/>
                          <w:szCs w:val="6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2.微信群：******。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left="17" w:firstLine="652"/>
        <w:jc w:val="left"/>
        <w:textAlignment w:val="baseline"/>
        <w:rPr>
          <w:spacing w:val="4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五、核查与整改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（一）对从业人员报告的事故隐患，相关负责人应及时与报告人员沟通，并组织核查，及时答复。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（二）核查属实的事故隐患，能立即整改的要立即整改；无法立即整改的，要建立台账实行闭环管理，做到责任人、措施、资金、期限和应急预案 “五落实”，并向报告人员反馈处置情况或向全员公示事故隐患整改情况。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报告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人的信息保密，不得向无关人员泄漏。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firstLine="619" w:firstLineChars="200"/>
        <w:jc w:val="left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六、奖励资金来源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Arial"/>
          <w:sz w:val="21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按照《企业安全生产费用提取和使用管理办法》规定，落实从业人员报告事故隐患的奖励支出，从企业安全生产费用中列支。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firstLine="619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七、奖励标准与方式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奖励坚持物质奖励和精神奖励相结合的原则，鼓励 “小隐患小奖，大隐患大奖”，对报告重大事故隐患等突出问题的予以重奖。一般在事故隐患核查属实后的3天内完成奖励发放。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（一）一般事故隐患。由公司根据实际情况自行确定所属范围，给予报告人xx元的物质奖励。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（二）重大事故隐患。依据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《特种设备重大事故隐患判定准则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》判定，给予报告人xx元的高额物质奖励。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left="0" w:leftChars="0" w:firstLine="619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八、正向激励措施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对事故隐患报告工作开展较好的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部门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和个人，在业绩考核、评优评先及人员奖励、晋升等方面予以倾斜，强化激励引导，充分保障和保护主动报告事故隐患从业人员的合法权益，不得借机限制报告人员权益或借故打击报复。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left="0" w:leftChars="0" w:firstLine="619" w:firstLineChars="200"/>
        <w:jc w:val="left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、结果运用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注重对从业人员报告隐患情况的分析，举一反三研判现场管理、责任落实、设备设施、工艺技术等方面存在的问题，及时采取针对性措施加以改进，不断提高安全生产水平。定期对事故隐患报告及奖励情况进行总结和通报，使全体员工了解单位安全生产状况，增强安全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firstLine="619" w:firstLineChars="200"/>
        <w:jc w:val="left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、宣传与培训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加强事故隐患内部报告奖励工作的宣传，通过单位内部宣传栏、微信群、公众号、会议等多种形式，宣传该制度的内容和意义，提高从业人员发现问题和解决问题的意愿和能力。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强化培训，将事故隐患内部报告奖励制度纳入单位安全生产教育培训内容，利用岗前培训、定期安全培训等形式，提升从业人员对本单位、本岗位安全风险和事故隐患的辨识能力。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80" w:lineRule="exact"/>
        <w:ind w:firstLine="619" w:firstLineChars="200"/>
        <w:jc w:val="left"/>
        <w:textAlignment w:val="baseline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十一、监督与管理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明确监督部门和人员，负责对事故隐患报告、核查、奖励等环节进行监督，确保制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度的有效执行。对在事故隐患报告奖励工作中存在弄虚作假、违规操作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借故打击报复等行为的人员，依法依规进行严肃处理。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-105410</wp:posOffset>
              </wp:positionV>
              <wp:extent cx="336550" cy="2432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3pt;height:19.15pt;width:26.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f2wdRtYAAAAGAQAADwAAAAAAAAAB&#10;ACAAAAA4AAAAZHJzL2Rvd25yZXYueG1sUEsBAhQAFAAAAAgAh07iQMbF96o1AgAAYQQAAA4AAAAA&#10;AAAAAQAgAAAAOw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A226A"/>
    <w:rsid w:val="188D6421"/>
    <w:rsid w:val="1A8C6350"/>
    <w:rsid w:val="3A046E43"/>
    <w:rsid w:val="48B065C3"/>
    <w:rsid w:val="567F1D52"/>
    <w:rsid w:val="5DF56040"/>
    <w:rsid w:val="61813F63"/>
    <w:rsid w:val="776F903B"/>
    <w:rsid w:val="7E0E3894"/>
    <w:rsid w:val="7FFB64DD"/>
    <w:rsid w:val="9FDFA383"/>
    <w:rsid w:val="BB9F6F0A"/>
    <w:rsid w:val="CDBF34C5"/>
    <w:rsid w:val="DF5F717F"/>
    <w:rsid w:val="DFFF931F"/>
    <w:rsid w:val="FFCFA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line="24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1745</Words>
  <Characters>1785</Characters>
  <Lines>0</Lines>
  <Paragraphs>0</Paragraphs>
  <TotalTime>1</TotalTime>
  <ScaleCrop>false</ScaleCrop>
  <LinksUpToDate>false</LinksUpToDate>
  <CharactersWithSpaces>1843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2025-05-28T23:12:00Z</dcterms:created>
  <dc:creator>Administrator</dc:creator>
  <cp:lastModifiedBy>吴彬</cp:lastModifiedBy>
  <dcterms:modified xsi:type="dcterms:W3CDTF">2025-06-23T10:19:07Z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KSOTemplateDocerSaveRecord">
    <vt:lpwstr>eyJoZGlkIjoiMDMyNDZiY2QwNTU2ODU3ZjI3Mjc3ODMzYTBiODkwMzYiLCJ1c2VySWQiOiIzNjAxNTE5NTQifQ==</vt:lpwstr>
  </property>
  <property fmtid="{D5CDD505-2E9C-101B-9397-08002B2CF9AE}" pid="4" name="ICV">
    <vt:lpwstr>975D3077576046BFBFCB5FAEDD2507B8_12</vt:lpwstr>
  </property>
</Properties>
</file>