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E66B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黑体" w:cs="Times New Roman"/>
          <w:kern w:val="2"/>
          <w:sz w:val="32"/>
          <w:szCs w:val="32"/>
          <w:lang w:val="en-US" w:eastAsia="zh-CN" w:bidi="ar"/>
        </w:rPr>
        <w:t>附件2</w:t>
      </w:r>
    </w:p>
    <w:p w14:paraId="432DF75C">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黑体_GBK" w:cs="Times New Roman"/>
          <w:kern w:val="2"/>
          <w:sz w:val="44"/>
          <w:szCs w:val="44"/>
          <w:lang w:val="en-US" w:eastAsia="zh-CN" w:bidi="ar"/>
        </w:rPr>
      </w:pPr>
    </w:p>
    <w:p w14:paraId="7B606121">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黑体_GBK" w:cs="Times New Roman"/>
          <w:kern w:val="2"/>
          <w:sz w:val="44"/>
          <w:szCs w:val="44"/>
        </w:rPr>
      </w:pPr>
      <w:bookmarkStart w:id="0" w:name="_GoBack"/>
      <w:r>
        <w:rPr>
          <w:rFonts w:hint="default" w:ascii="Times New Roman" w:hAnsi="Times New Roman" w:eastAsia="方正小标宋简体" w:cs="Times New Roman"/>
          <w:kern w:val="2"/>
          <w:sz w:val="44"/>
          <w:szCs w:val="44"/>
          <w:lang w:val="en-US" w:eastAsia="zh-CN" w:bidi="ar"/>
        </w:rPr>
        <w:t>强制性产品认证目录及认证模式</w:t>
      </w:r>
    </w:p>
    <w:bookmarkEnd w:id="0"/>
    <w:p w14:paraId="7EEBBA5D">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62A08F7D">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根据国家市场监督管理总局相关公告，截至2024年底，《强制性产品认证目录》包括电线电缆、低压电器、电动工具、家用和类似用途设备、照明电器、防爆电气、儿童用品等16大类105种产品。产品目录如下：</w:t>
      </w:r>
    </w:p>
    <w:tbl>
      <w:tblPr>
        <w:tblStyle w:val="2"/>
        <w:tblW w:w="9411" w:type="dxa"/>
        <w:tblInd w:w="-3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95"/>
        <w:gridCol w:w="5402"/>
        <w:gridCol w:w="1714"/>
      </w:tblGrid>
      <w:tr w14:paraId="0A7D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15DB72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产品大类</w:t>
            </w: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6C16CC4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产品种类及代码</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547C771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认证模式</w:t>
            </w:r>
          </w:p>
        </w:tc>
      </w:tr>
      <w:tr w14:paraId="639A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B80B9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一、电线电缆（3种）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2DA40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1.电线组件（0101）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19393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F35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3DA7CD7">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1EE98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2.额定电压450/750V及以下橡皮绝缘电线电缆（0104）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E1824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B0D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62C0E1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C8636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3.额定电压450/750 V及以下聚氯乙烯绝缘电线电缆（0105）</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D3DDD3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9A9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2BF9C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二、电路开关及保护或连接用电器装置（5种）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6EAC6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4.插头插座（0201）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1F158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55C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D4BB93A">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A73B5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5.家用和类似用途固定式电气装置的开关（0202）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ED00E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AEC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1365B1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49FAF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6.器具耦合器（0204）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F88D2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BBC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BD47C06">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8F980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7.家用和类似用途固定式电气装置电器附件外壳（0206）</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626C1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892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242A801">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464F2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**8.熔断体（0205、0207）</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D9C27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2B4C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3ECFA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三、低压电器（2种）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B205C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**9.低压成套开关设备（0301）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62304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4CD7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8416B8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05ED0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10.低压元器件（0302、0303、0304、0305、0306、0307、0308、0309）</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8E989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A31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EF758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四、小功率电动机（1种）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DC9FB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**11.小功率电动机（0401）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4A924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1CCA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97373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五、电动工具（3种）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DB656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*12.电钻（0501）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3DDB9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自我声明程序A</w:t>
            </w:r>
          </w:p>
        </w:tc>
      </w:tr>
      <w:tr w14:paraId="37E4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2B6589F">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20A77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*13.电动砂轮机（0503）</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C7ABB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自我声明程序A</w:t>
            </w:r>
          </w:p>
        </w:tc>
      </w:tr>
      <w:tr w14:paraId="5338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FAD858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358B5E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*14.电锤（0506）</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031161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自我声明程序A</w:t>
            </w:r>
          </w:p>
        </w:tc>
      </w:tr>
      <w:tr w14:paraId="06FF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E18A1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六、电焊机（4种）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DF636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*15.直流弧焊机（0603）</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24035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自我声明程序A</w:t>
            </w:r>
          </w:p>
        </w:tc>
      </w:tr>
      <w:tr w14:paraId="2F68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078A11B">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500A3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*16.TIG弧焊机（0604）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C5BF3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自我声明程序A</w:t>
            </w:r>
          </w:p>
        </w:tc>
      </w:tr>
      <w:tr w14:paraId="2469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E7BA65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1B11BE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*17.MIG/MAG弧焊机（0605）</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431155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自我声明程序A</w:t>
            </w:r>
          </w:p>
        </w:tc>
      </w:tr>
      <w:tr w14:paraId="4E6F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auto" w:sz="4" w:space="0"/>
              <w:right w:val="single" w:color="000000" w:sz="8" w:space="0"/>
            </w:tcBorders>
            <w:shd w:val="clear" w:color="auto" w:fill="FFFFFF"/>
            <w:noWrap w:val="0"/>
            <w:tcMar>
              <w:top w:w="15" w:type="dxa"/>
              <w:left w:w="15" w:type="dxa"/>
              <w:right w:w="15" w:type="dxa"/>
            </w:tcMar>
            <w:vAlign w:val="center"/>
          </w:tcPr>
          <w:p w14:paraId="0F2A5C81">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auto" w:sz="4" w:space="0"/>
              <w:right w:val="single" w:color="000000" w:sz="8" w:space="0"/>
            </w:tcBorders>
            <w:shd w:val="clear" w:color="auto" w:fill="FFFFFF"/>
            <w:noWrap w:val="0"/>
            <w:tcMar>
              <w:top w:w="15" w:type="dxa"/>
              <w:left w:w="15" w:type="dxa"/>
              <w:right w:w="15" w:type="dxa"/>
            </w:tcMar>
            <w:vAlign w:val="center"/>
          </w:tcPr>
          <w:p w14:paraId="286B96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*18.等离子弧切割机（0607）</w:t>
            </w:r>
          </w:p>
        </w:tc>
        <w:tc>
          <w:tcPr>
            <w:tcW w:w="1714" w:type="dxa"/>
            <w:tcBorders>
              <w:top w:val="nil"/>
              <w:left w:val="nil"/>
              <w:bottom w:val="single" w:color="auto" w:sz="4" w:space="0"/>
              <w:right w:val="single" w:color="000000" w:sz="8" w:space="0"/>
            </w:tcBorders>
            <w:shd w:val="clear" w:color="auto" w:fill="FFFFFF"/>
            <w:noWrap w:val="0"/>
            <w:tcMar>
              <w:top w:w="15" w:type="dxa"/>
              <w:left w:w="15" w:type="dxa"/>
              <w:right w:w="15" w:type="dxa"/>
            </w:tcMar>
            <w:vAlign w:val="center"/>
          </w:tcPr>
          <w:p w14:paraId="09381B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自我声明程序A</w:t>
            </w:r>
          </w:p>
        </w:tc>
      </w:tr>
      <w:tr w14:paraId="15BB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EE845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七、家用和类似用途设备（20种）</w:t>
            </w: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04065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19.家用电冰箱和食品冷冻箱（0701）</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A69FF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995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9FEDA9E">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4AD8A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20.电风扇（0702）</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59CEF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708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30518F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727C9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21.空调器（0703）</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84089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909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470456">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253EE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**22.电动机－压缩机（0704）</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6BB5A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70ED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B50143F">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05E3F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23.家用电动洗衣机（0705）</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6941D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925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1C59FE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3FCB1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24.电热水器（0706）</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04684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5A1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3643ED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54D4C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25.室内加热器（0707）</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70760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5C7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2EDD745">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4E4E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26.真空吸尘器（0708）</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7723A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64C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0860E80">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43AE7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27.皮肤和毛发护理器具（0709）</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2CE04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1F49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38D343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149F7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28.电熨斗（0710）</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FFA28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45D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7BFDC8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2AB7D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29.电磁灶（0711）</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3A2D4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79B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B78E521">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A7AFA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30.电烤箱（便携式烤架、面包片烘烤器及类似烹调器具）（0712）</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70A3E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11A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7EBC27">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3C6FB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31.电动食品加工器具（食品加工机（厨房机械））（0713）</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3A087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6552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368B4FB">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5B946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32.微波炉（0714）</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AC063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E67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503C71BB">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43A2DA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33.电灶、灶台、烤炉和类似器具（驻立式电烤箱、固定式烤架及类似烹调器具）（0715）</w:t>
            </w:r>
          </w:p>
        </w:tc>
        <w:tc>
          <w:tcPr>
            <w:tcW w:w="1714"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18EFB3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DC3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58F4671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78700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34.吸油烟机（0716）</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5AF49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9E1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00CC0BAF">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55542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35.液体加热器和冷热饮水机（0717）</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98569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083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03297DC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4C4C1E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36.电饭锅（0718）</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0832E5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938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2BB4669F">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D00D1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37.电热毯、电热垫及类似柔性发热器具（0719）</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C975E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453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4F099B7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E0BB9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38.电子坐便器（0720）</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B709C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6B6A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7C1EC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八、电子产品及安全附件（13种）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0D675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39.各种成像方式的彩色电视接收机、电视机顶盒（0808）</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DC476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22C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ADED5F1">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77CD9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40.微型计算机（0901）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60F82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6CA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8898851">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8B680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41.便携式计算机（0902）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BD77C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7DC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DC77F6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5E909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42.与计算机连用的显示设备（0903）</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61152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1DD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B13CF5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574EB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43.与计算机相连的打印设备（0904）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710B4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5D2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9A9AC7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92352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44.多用途打印复印机（0905）</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D93D6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756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ED83C1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C29EA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45.扫描仪（0906）</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A1B9E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B76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A6A4287">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0EBB8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46.服务器（0911）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E032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51D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9112366">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ED8EF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47.传真机（1602）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A3D04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586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03EC16A">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7D703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48.移动用户终端（1606）</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08085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3B8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8C16D3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2172B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49.电源（0807、0907）</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64144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2F7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C0AE845">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00DAE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50.移动电源（0914）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F966F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65BE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FD3C2C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15FE5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51.锂离子电池和电池组（0915）</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893EB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1C1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FC400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九、照明电器（2种）</w:t>
            </w: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365E8F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52.灯具（1001）</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29BD29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D37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auto" w:sz="4" w:space="0"/>
              <w:right w:val="single" w:color="000000" w:sz="8" w:space="0"/>
            </w:tcBorders>
            <w:shd w:val="clear" w:color="auto" w:fill="FFFFFF"/>
            <w:noWrap w:val="0"/>
            <w:tcMar>
              <w:top w:w="15" w:type="dxa"/>
              <w:left w:w="15" w:type="dxa"/>
              <w:right w:w="15" w:type="dxa"/>
            </w:tcMar>
            <w:vAlign w:val="center"/>
          </w:tcPr>
          <w:p w14:paraId="77C6D0B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auto" w:sz="4" w:space="0"/>
              <w:right w:val="single" w:color="000000" w:sz="8" w:space="0"/>
            </w:tcBorders>
            <w:shd w:val="clear" w:color="auto" w:fill="FFFFFF"/>
            <w:noWrap w:val="0"/>
            <w:tcMar>
              <w:top w:w="15" w:type="dxa"/>
              <w:left w:w="15" w:type="dxa"/>
              <w:right w:w="15" w:type="dxa"/>
            </w:tcMar>
            <w:vAlign w:val="center"/>
          </w:tcPr>
          <w:p w14:paraId="3676F8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53.镇流器（1002）</w:t>
            </w:r>
          </w:p>
        </w:tc>
        <w:tc>
          <w:tcPr>
            <w:tcW w:w="1714" w:type="dxa"/>
            <w:tcBorders>
              <w:top w:val="nil"/>
              <w:left w:val="nil"/>
              <w:bottom w:val="single" w:color="auto" w:sz="4" w:space="0"/>
              <w:right w:val="single" w:color="000000" w:sz="8" w:space="0"/>
            </w:tcBorders>
            <w:shd w:val="clear" w:color="auto" w:fill="FFFFFF"/>
            <w:noWrap w:val="0"/>
            <w:tcMar>
              <w:top w:w="15" w:type="dxa"/>
              <w:left w:w="15" w:type="dxa"/>
              <w:right w:w="15" w:type="dxa"/>
            </w:tcMar>
            <w:vAlign w:val="center"/>
          </w:tcPr>
          <w:p w14:paraId="5A823F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506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CFA34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十、车辆及安全附件（15种）</w:t>
            </w: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61F84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54.汽车（1101）</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F6BB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B2A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3893F9F">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58841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55.摩托车（1102）</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DC4B9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98B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EEAF1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3B73F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56.电动自行车（1119）</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DA5AC4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197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241AF2D">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A474B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57.机动车辆轮胎（1201、1202）</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9AB7A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426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A84584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DC555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58.摩托车、电动自行车乘员头盔（1105）</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3D8E5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02C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AB5BDBD">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B8472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59.汽车用制动器衬片（1120）</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789AF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830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881F58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537CC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60.电动自行车用锂离子蓄电池（1121）</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391E2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434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A3FC90E">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21FBF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61.电动自行车用充电器（1122）</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EBAC9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BA6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3F39F8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DE523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**62.汽车安全玻璃（1301）</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228ED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4182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D90B6A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AFDA7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**63.汽车安全带（1104）</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D7C7D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00E9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4E1355A">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1B94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**64.机动车外部照明及光信号装置（1109、1116）</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27AE6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3AE5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1B4A70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8C891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**65.机动车辆间接视野装置（1110、1115）</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7932D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42F8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F197EA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3D5E2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**66.汽车座椅及座椅头枕（1114）</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4A9A9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75A7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79447CAF">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621EC2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**67.汽车行驶记录仪（1117）</w:t>
            </w:r>
          </w:p>
        </w:tc>
        <w:tc>
          <w:tcPr>
            <w:tcW w:w="1714"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13A774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1A97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127E030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800F6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**68.车身反光标识（1118）</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A3C6D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自我声明程序B</w:t>
            </w:r>
          </w:p>
        </w:tc>
      </w:tr>
      <w:tr w14:paraId="20F0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DF1DD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十一、农机产品（2种）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6FBE9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69.植物保护机械（1401）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39EF5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69F7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8C9046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B81A0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70.轮式拖拉机（1402）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E2510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644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04E7D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十二、消防产品（3种）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1108D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71.火灾报警产品（1801）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FECA9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44D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356F40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C78C9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72.灭火器产品（1810）</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63ED0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405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0BC1FB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C3C3B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73.避难逃生产品（1815）</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D12B9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405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65EA7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十三、建材产品（4种）</w:t>
            </w: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3E822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74.溶剂型木器涂料（2101）</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13BD2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64E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5663A2B">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870A07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75.水性内墙涂料（2104）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62E5B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6D1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2B52894">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156A3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76.瓷质砖（2102）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BA40F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B75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AFADE2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8C42D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77.建筑安全玻璃（1302）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05988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EBF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E767F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十四、儿童用品（3种）</w:t>
            </w: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003F68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78.童车类产品（2201）</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4CB1D7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4E3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9A96777">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DD57C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79.玩具（2202）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279D6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1167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auto" w:sz="4" w:space="0"/>
              <w:right w:val="single" w:color="000000" w:sz="8" w:space="0"/>
            </w:tcBorders>
            <w:shd w:val="clear" w:color="auto" w:fill="FFFFFF"/>
            <w:noWrap w:val="0"/>
            <w:tcMar>
              <w:top w:w="15" w:type="dxa"/>
              <w:left w:w="15" w:type="dxa"/>
              <w:right w:w="15" w:type="dxa"/>
            </w:tcMar>
            <w:vAlign w:val="center"/>
          </w:tcPr>
          <w:p w14:paraId="0C0BF5AC">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auto" w:sz="4" w:space="0"/>
              <w:right w:val="single" w:color="000000" w:sz="8" w:space="0"/>
            </w:tcBorders>
            <w:shd w:val="clear" w:color="auto" w:fill="FFFFFF"/>
            <w:noWrap w:val="0"/>
            <w:tcMar>
              <w:top w:w="15" w:type="dxa"/>
              <w:left w:w="15" w:type="dxa"/>
              <w:right w:w="15" w:type="dxa"/>
            </w:tcMar>
            <w:vAlign w:val="center"/>
          </w:tcPr>
          <w:p w14:paraId="0E810E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80.机动车儿童乘员用约束系统（2207）</w:t>
            </w:r>
          </w:p>
        </w:tc>
        <w:tc>
          <w:tcPr>
            <w:tcW w:w="1714" w:type="dxa"/>
            <w:tcBorders>
              <w:top w:val="nil"/>
              <w:left w:val="nil"/>
              <w:bottom w:val="single" w:color="auto" w:sz="4" w:space="0"/>
              <w:right w:val="single" w:color="000000" w:sz="8" w:space="0"/>
            </w:tcBorders>
            <w:shd w:val="clear" w:color="auto" w:fill="FFFFFF"/>
            <w:noWrap w:val="0"/>
            <w:tcMar>
              <w:top w:w="15" w:type="dxa"/>
              <w:left w:w="15" w:type="dxa"/>
              <w:right w:w="15" w:type="dxa"/>
            </w:tcMar>
            <w:vAlign w:val="center"/>
          </w:tcPr>
          <w:p w14:paraId="0DE0B0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32E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14E26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十五、防爆电气（18种）</w:t>
            </w: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3D261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81.防爆电机（2301）</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A01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1D2A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7B35FDA">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44DDE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82.防爆电泵（2302）</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F1C7B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442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CEE913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7D9D1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83.防爆配电装置类产品（2303）</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C788A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283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6DDBA8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CA669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84.防爆开关、控制及保护产品（2304）</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FF300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793C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CE8B36">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8453D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85.防爆起动器类产品（2305）</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3FC71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65D6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3E346C1">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5FA73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86.防爆变压器类产品（2306）</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8BFB5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197B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B434AE4">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DE326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87.防爆电动执行机构、电磁阀类产品（2307）</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00635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B7F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6BAD9AA">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C874D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88.防爆插接装置（2308）</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DD2BC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5C92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4CEE8B6">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A742A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89.防爆监控产品（2309）</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29E75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B18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A049F1A">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A7B05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90.防爆通讯、信号装置（2310）</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EC580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BA1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8E4A6E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0DF3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91.防爆空调、通风设备（2311）</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D7FC3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788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504BFD3">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E110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92.防爆电加热产品（2312）</w:t>
            </w:r>
          </w:p>
        </w:tc>
        <w:tc>
          <w:tcPr>
            <w:tcW w:w="171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002D4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E6B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single" w:color="auto" w:sz="4" w:space="0"/>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59281EED">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004D87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93.防爆附件、Ex元件（2313）</w:t>
            </w:r>
          </w:p>
        </w:tc>
        <w:tc>
          <w:tcPr>
            <w:tcW w:w="1714"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7DA4D7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6BA9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32B7BD68">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A223D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94.防爆仪器仪表类产品（2314）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AE4EE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47D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4B94D844">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7DAEC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95.防爆传感器（2315）</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6B930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7AB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35631FF9">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1B920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96.安全栅类产品（2316）</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EA3AE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1B63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455B853B">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755DB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97.防爆仪表箱类产品（2317）</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4C008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146F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auto" w:sz="4" w:space="0"/>
              <w:bottom w:val="single" w:color="000000" w:sz="8" w:space="0"/>
              <w:right w:val="single" w:color="000000" w:sz="8" w:space="0"/>
            </w:tcBorders>
            <w:shd w:val="clear" w:color="auto" w:fill="FFFFFF"/>
            <w:noWrap w:val="0"/>
            <w:tcMar>
              <w:top w:w="15" w:type="dxa"/>
              <w:left w:w="15" w:type="dxa"/>
              <w:right w:w="15" w:type="dxa"/>
            </w:tcMar>
            <w:vAlign w:val="center"/>
          </w:tcPr>
          <w:p w14:paraId="3441E682">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A11AE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98.防爆灯具及控制装置（2318）</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7B0EF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3B66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restar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4191A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十六、燃气燃烧器具及安全附件（6种）</w:t>
            </w: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1506A7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99.家用燃气灶具（2401）</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229262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A0E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2EDED55">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39719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100.家用燃气快速热水器（2402）</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EFFB3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C3F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A2B6594">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37B1B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101.燃气采暖热水炉（2403）</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250A9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649D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5DD74E6">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C0F9B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102.商用燃气燃烧器具（2404）</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6D0AC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2A8A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DB7A954">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2B40D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103.燃气用具连接用软管（2405）</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533A3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07B0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vMerge w:val="continue"/>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8056D8A">
            <w:pPr>
              <w:keepNext w:val="0"/>
              <w:keepLines w:val="0"/>
              <w:pageBreakBefore w:val="0"/>
              <w:widowControl w:val="0"/>
              <w:kinsoku/>
              <w:wordWrap/>
              <w:overflowPunct/>
              <w:topLinePunct w:val="0"/>
              <w:autoSpaceDN/>
              <w:bidi w:val="0"/>
              <w:adjustRightInd/>
              <w:snapToGrid/>
              <w:spacing w:line="340" w:lineRule="exact"/>
              <w:textAlignment w:val="auto"/>
              <w:rPr>
                <w:rFonts w:hint="default" w:ascii="Times New Roman" w:hAnsi="Times New Roman" w:eastAsia="宋体" w:cs="Times New Roman"/>
                <w:sz w:val="21"/>
                <w:szCs w:val="21"/>
              </w:rPr>
            </w:pPr>
          </w:p>
        </w:tc>
        <w:tc>
          <w:tcPr>
            <w:tcW w:w="540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B8E0F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104.燃气紧急切断阀（2406）</w:t>
            </w:r>
          </w:p>
        </w:tc>
        <w:tc>
          <w:tcPr>
            <w:tcW w:w="1714"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8645B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r w14:paraId="4DAE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15AA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p>
        </w:tc>
        <w:tc>
          <w:tcPr>
            <w:tcW w:w="540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18A87B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105.电动汽车供电设备（2501）</w:t>
            </w:r>
          </w:p>
        </w:tc>
        <w:tc>
          <w:tcPr>
            <w:tcW w:w="1714"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3C0035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第三方认证</w:t>
            </w:r>
          </w:p>
        </w:tc>
      </w:tr>
    </w:tbl>
    <w:p w14:paraId="7DC5E6A0">
      <w:pPr>
        <w:keepNext w:val="0"/>
        <w:keepLines w:val="0"/>
        <w:widowControl w:val="0"/>
        <w:suppressLineNumbers w:val="0"/>
        <w:autoSpaceDE w:val="0"/>
        <w:autoSpaceDN/>
        <w:spacing w:before="0" w:beforeAutospacing="0" w:after="0" w:afterAutospacing="0" w:line="480" w:lineRule="exact"/>
        <w:ind w:left="0" w:right="0" w:firstLine="560" w:firstLineChars="200"/>
        <w:jc w:val="left"/>
        <w:rPr>
          <w:rFonts w:hint="eastAsia" w:ascii="Times New Roman" w:hAnsi="Times New Roman" w:eastAsia="CESI楷体-GB13000" w:cs="Times New Roman"/>
          <w:color w:val="000000"/>
          <w:kern w:val="2"/>
          <w:sz w:val="28"/>
          <w:szCs w:val="28"/>
          <w:lang w:eastAsia="zh-CN"/>
        </w:rPr>
      </w:pPr>
      <w:r>
        <w:rPr>
          <w:rFonts w:hint="default" w:ascii="Times New Roman" w:hAnsi="Times New Roman" w:eastAsia="CESI楷体-GB13000" w:cs="Times New Roman"/>
          <w:color w:val="000000"/>
          <w:kern w:val="2"/>
          <w:sz w:val="28"/>
          <w:szCs w:val="28"/>
          <w:lang w:val="en-US" w:eastAsia="zh-CN" w:bidi="ar"/>
        </w:rPr>
        <w:t xml:space="preserve"> </w:t>
      </w:r>
    </w:p>
    <w:p w14:paraId="4EBD22F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CESI楷体-GB13000" w:cs="Times New Roman"/>
          <w:color w:val="000000"/>
          <w:kern w:val="2"/>
          <w:sz w:val="32"/>
          <w:szCs w:val="32"/>
          <w:lang w:val="en-US" w:eastAsia="zh-CN" w:bidi="ar"/>
        </w:rPr>
      </w:pPr>
      <w:r>
        <w:rPr>
          <w:rFonts w:hint="default" w:ascii="Times New Roman" w:hAnsi="Times New Roman" w:eastAsia="CESI楷体-GB13000" w:cs="Times New Roman"/>
          <w:color w:val="000000"/>
          <w:kern w:val="2"/>
          <w:sz w:val="32"/>
          <w:szCs w:val="32"/>
          <w:lang w:val="en-US" w:eastAsia="zh-CN" w:bidi="ar"/>
        </w:rPr>
        <w:t>【说明】</w:t>
      </w:r>
    </w:p>
    <w:p w14:paraId="603E743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CESI楷体-GB13000"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一、《强制性产品认证目录》实行动态调整</w:t>
      </w:r>
    </w:p>
    <w:p w14:paraId="1FA78C5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bidi="ar"/>
        </w:rPr>
      </w:pPr>
      <w:r>
        <w:rPr>
          <w:rFonts w:hint="default" w:ascii="Times New Roman" w:hAnsi="Times New Roman" w:eastAsia="仿宋_GB2312" w:cs="Times New Roman"/>
          <w:color w:val="000000"/>
          <w:kern w:val="2"/>
          <w:sz w:val="32"/>
          <w:szCs w:val="32"/>
          <w:lang w:val="en-US" w:eastAsia="zh-CN" w:bidi="ar"/>
        </w:rPr>
        <w:t>截至目前，国家实施强制性产品认证的产品共16大类105种，具体范围可查询市场监管总局2023年第36号公（https://www.cnca.gov.cn/zwxx/gg/zjgg/art/2023/art_31ce43f5837d408cb2023ec693615ada.html）、2024年第9号公告（https://www.cnca.gov.cn/zwxx/gg/zjgg/art/2024/art_f0b45060b8584eed8fcf97e9ec01c5c5.html）、2024年第26号公告（https://www.cnca.gov.cn/zwxx/gg/zjgg/art/2024/art_aa301e8efe794dd9aa6f1200362d0cf4.html）、2024年第28号公告（https://www.cnca.gov.cn/zwxx/gg/zjgg/art/2024/art_258d93b153554437923b94d4824432d1.html）、2024年第50号公告</w:t>
      </w:r>
      <w:r>
        <w:rPr>
          <w:rFonts w:hint="default" w:ascii="Times New Roman" w:hAnsi="Times New Roman"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bidi="ar"/>
        </w:rPr>
        <w:t>https://www.cnca.gov.cn/zwxx/</w:t>
      </w:r>
      <w:r>
        <w:rPr>
          <w:rFonts w:hint="default" w:ascii="Times New Roman" w:hAnsi="Times New Roman" w:cs="Times New Roman"/>
          <w:color w:val="000000"/>
          <w:kern w:val="2"/>
          <w:sz w:val="32"/>
          <w:szCs w:val="32"/>
          <w:lang w:val="en-US" w:bidi="ar"/>
        </w:rPr>
        <w:t>g</w:t>
      </w:r>
      <w:r>
        <w:rPr>
          <w:rFonts w:hint="default" w:ascii="Times New Roman" w:hAnsi="Times New Roman" w:eastAsia="仿宋_GB2312" w:cs="Times New Roman"/>
          <w:color w:val="000000"/>
          <w:kern w:val="2"/>
          <w:sz w:val="32"/>
          <w:szCs w:val="32"/>
          <w:lang w:bidi="ar"/>
        </w:rPr>
        <w:t>g/zjgg/</w:t>
      </w:r>
      <w:r>
        <w:rPr>
          <w:rFonts w:hint="default" w:ascii="Times New Roman" w:hAnsi="Times New Roman" w:eastAsia="仿宋_GB2312" w:cs="Times New Roman"/>
          <w:color w:val="000000"/>
          <w:kern w:val="2"/>
          <w:sz w:val="32"/>
          <w:szCs w:val="32"/>
          <w:lang w:val="en-US" w:eastAsia="zh-CN" w:bidi="ar"/>
        </w:rPr>
        <w:fldChar w:fldCharType="begin"/>
      </w:r>
      <w:r>
        <w:rPr>
          <w:rFonts w:hint="default" w:ascii="Times New Roman" w:hAnsi="Times New Roman" w:eastAsia="仿宋_GB2312" w:cs="Times New Roman"/>
          <w:color w:val="000000"/>
          <w:kern w:val="2"/>
          <w:sz w:val="32"/>
          <w:szCs w:val="32"/>
          <w:lang w:val="en-US" w:eastAsia="zh-CN" w:bidi="ar"/>
        </w:rPr>
        <w:instrText xml:space="preserve"> HYPERLINK "https://www.cnca.gov.cn/zwxx/gg/zjgg/art/2024/art_db871e346c7f40f09a405fa8a2bd451c.html）。" </w:instrText>
      </w:r>
      <w:r>
        <w:rPr>
          <w:rFonts w:hint="default" w:ascii="Times New Roman" w:hAnsi="Times New Roman" w:eastAsia="仿宋_GB2312" w:cs="Times New Roman"/>
          <w:color w:val="000000"/>
          <w:kern w:val="2"/>
          <w:sz w:val="32"/>
          <w:szCs w:val="32"/>
          <w:lang w:val="en-US" w:eastAsia="zh-CN" w:bidi="ar"/>
        </w:rPr>
        <w:fldChar w:fldCharType="separate"/>
      </w:r>
      <w:r>
        <w:rPr>
          <w:rFonts w:hint="default" w:ascii="Times New Roman" w:hAnsi="Times New Roman" w:eastAsia="仿宋_GB2312" w:cs="Times New Roman"/>
          <w:color w:val="000000"/>
          <w:kern w:val="2"/>
          <w:sz w:val="32"/>
          <w:szCs w:val="32"/>
          <w:lang w:bidi="ar"/>
        </w:rPr>
        <w:t>art/2024/art_db871e34</w:t>
      </w:r>
      <w:r>
        <w:rPr>
          <w:rFonts w:hint="default" w:ascii="Times New Roman" w:hAnsi="Times New Roman" w:eastAsia="仿宋_GB2312" w:cs="Times New Roman"/>
          <w:color w:val="000000"/>
          <w:kern w:val="2"/>
          <w:sz w:val="32"/>
          <w:szCs w:val="32"/>
          <w:lang w:val="en-US" w:eastAsia="zh-CN" w:bidi="ar"/>
        </w:rPr>
        <w:fldChar w:fldCharType="end"/>
      </w:r>
      <w:r>
        <w:rPr>
          <w:rFonts w:hint="default" w:ascii="Times New Roman" w:hAnsi="Times New Roman" w:eastAsia="仿宋_GB2312" w:cs="Times New Roman"/>
          <w:color w:val="000000"/>
          <w:kern w:val="2"/>
          <w:sz w:val="32"/>
          <w:szCs w:val="32"/>
          <w:lang w:val="en-US" w:eastAsia="zh-CN" w:bidi="ar"/>
        </w:rPr>
        <w:t>6c7f40f09a405fa8a2bd451c.html）。</w:t>
      </w:r>
    </w:p>
    <w:p w14:paraId="0E0C3F0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bidi="ar"/>
        </w:rPr>
      </w:pPr>
      <w:r>
        <w:rPr>
          <w:rFonts w:hint="default" w:ascii="Times New Roman" w:hAnsi="Times New Roman" w:eastAsia="黑体" w:cs="Times New Roman"/>
          <w:color w:val="000000"/>
          <w:kern w:val="2"/>
          <w:sz w:val="32"/>
          <w:szCs w:val="32"/>
          <w:lang w:val="en-US" w:eastAsia="zh-CN" w:bidi="ar"/>
        </w:rPr>
        <w:t>二、强制性产品认证方式。企业办理CCC认证有自我声明评价和第三方认证两种方式</w:t>
      </w:r>
      <w:r>
        <w:rPr>
          <w:rFonts w:hint="default" w:ascii="Times New Roman" w:hAnsi="Times New Roman" w:eastAsia="仿宋_GB2312" w:cs="Times New Roman"/>
          <w:color w:val="000000"/>
          <w:kern w:val="2"/>
          <w:sz w:val="32"/>
          <w:szCs w:val="32"/>
          <w:lang w:val="en-US" w:eastAsia="zh-CN" w:bidi="ar"/>
        </w:rPr>
        <w:t>。</w:t>
      </w:r>
    </w:p>
    <w:p w14:paraId="572CA17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（一）通过第三方认证方式办理CCC认证流程</w:t>
      </w:r>
    </w:p>
    <w:p w14:paraId="14ABA3F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认证申请。</w:t>
      </w:r>
      <w:r>
        <w:rPr>
          <w:rFonts w:hint="default" w:ascii="Times New Roman" w:hAnsi="Times New Roman" w:eastAsia="仿宋_GB2312" w:cs="Times New Roman"/>
          <w:color w:val="000000"/>
          <w:kern w:val="2"/>
          <w:sz w:val="32"/>
          <w:szCs w:val="32"/>
          <w:lang w:val="en-US" w:eastAsia="zh-CN" w:bidi="ar"/>
        </w:rPr>
        <w:t>认证委托人向认证机构提出认证委托。</w:t>
      </w:r>
    </w:p>
    <w:p w14:paraId="0977AEE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型式试验。</w:t>
      </w:r>
      <w:r>
        <w:rPr>
          <w:rFonts w:hint="default" w:ascii="Times New Roman" w:hAnsi="Times New Roman" w:eastAsia="仿宋_GB2312" w:cs="Times New Roman"/>
          <w:color w:val="000000"/>
          <w:kern w:val="2"/>
          <w:sz w:val="32"/>
          <w:szCs w:val="32"/>
          <w:lang w:val="en-US" w:eastAsia="zh-CN" w:bidi="ar"/>
        </w:rPr>
        <w:t>①认证机构明确型式实验要求；②认证委托人按要求准备样品并送至指定实验室；③指定实验室配合认证机构确认型式试验项目，并进行型式试验。</w:t>
      </w:r>
    </w:p>
    <w:p w14:paraId="704080F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3</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初始工厂检查。</w:t>
      </w:r>
      <w:r>
        <w:rPr>
          <w:rFonts w:hint="default" w:ascii="Times New Roman" w:hAnsi="Times New Roman" w:eastAsia="仿宋_GB2312" w:cs="Times New Roman"/>
          <w:color w:val="000000"/>
          <w:kern w:val="2"/>
          <w:sz w:val="32"/>
          <w:szCs w:val="32"/>
          <w:lang w:val="en-US" w:eastAsia="zh-CN" w:bidi="ar"/>
        </w:rPr>
        <w:t>认证委托人建立、实施并持续保持企业质量保证能力和产品一致性控制体系，确认认证产品持续满足认证要求。认证机构对企业质量保证能力和产品一致性控制体系进行符合性检查。</w:t>
      </w:r>
    </w:p>
    <w:p w14:paraId="1F60219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4</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认证结果评价与决定。</w:t>
      </w:r>
      <w:r>
        <w:rPr>
          <w:rFonts w:hint="default" w:ascii="Times New Roman" w:hAnsi="Times New Roman" w:eastAsia="仿宋_GB2312" w:cs="Times New Roman"/>
          <w:color w:val="000000"/>
          <w:kern w:val="2"/>
          <w:sz w:val="32"/>
          <w:szCs w:val="32"/>
          <w:lang w:val="en-US" w:eastAsia="zh-CN" w:bidi="ar"/>
        </w:rPr>
        <w:t>认证机构根据型式试验结论、企业质量保证能力和产品一致性检查结论、认证委托资料/信息等作出认证决定。</w:t>
      </w:r>
    </w:p>
    <w:p w14:paraId="709D84C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5</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证后监督。</w:t>
      </w:r>
      <w:r>
        <w:rPr>
          <w:rFonts w:hint="default" w:ascii="Times New Roman" w:hAnsi="Times New Roman" w:eastAsia="仿宋_GB2312" w:cs="Times New Roman"/>
          <w:color w:val="000000"/>
          <w:kern w:val="2"/>
          <w:sz w:val="32"/>
          <w:szCs w:val="32"/>
          <w:lang w:val="en-US" w:eastAsia="zh-CN" w:bidi="ar"/>
        </w:rPr>
        <w:t>认证机构采取跟踪检查、生产现场抽取样品检测或者检查、市场抽样检测或检查三种方式之一或组合实施证后监督。</w:t>
      </w:r>
    </w:p>
    <w:p w14:paraId="76E0154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（二）通过自我声明评价方式办理CCC认证流程</w:t>
      </w:r>
    </w:p>
    <w:p w14:paraId="28A8323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根据认监委《强制性产品认证实施规则自我声明》（CNCA-00C-008:2019），对于强制性产品认证目录中适用自我声明评价方式的产品，生产者（制造商）要按相关要求完成自我评价和产品符合性信息报送。</w:t>
      </w:r>
    </w:p>
    <w:p w14:paraId="63C7F08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1</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自我声明程序。</w:t>
      </w:r>
    </w:p>
    <w:p w14:paraId="3FE3DC8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①生产者（制造商）以保证其自我声明的产品持续符合强制性产品认证适用标准为目标，根据上述规则及相应产品认证实施规则要求，针对产品特性和生产加工特点，实施内部质量控制，建立工厂质量保证体系。</w:t>
      </w:r>
    </w:p>
    <w:p w14:paraId="7268F55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②生产者（制造商）选择适当类型的合格评定方式（自我声明程序A和自我声明程序B，详见自我声明程序分类）对产品的符合性进行评价，证明产品持续符合强制性产品认证适用标准要求。</w:t>
      </w:r>
    </w:p>
    <w:p w14:paraId="6781C8B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③生产者（制造商）根据相关要求建立技术文档并妥善保存。</w:t>
      </w:r>
    </w:p>
    <w:p w14:paraId="5FE91D9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④生产者（制造商）、授权代表（适用时）对评价合格的产品签署“强制性产品认证符合性自我声明”并完成产品符合性信息报送。</w:t>
      </w:r>
    </w:p>
    <w:p w14:paraId="5BB1A50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⑤生产者（制造商）对其自我声明的产品加施CCC标志。</w:t>
      </w:r>
    </w:p>
    <w:p w14:paraId="6C7E16E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⑥产品设计、技术特性、相关强制性产品认证要求或自我声明相关信息变更时，生产者（制造商）、授权代表（适用时）应根据变更内容补充评价产品符合性并更新自我声明以及产品符合性信息。</w:t>
      </w:r>
    </w:p>
    <w:p w14:paraId="6869A3A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2</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自我声明程序分类。</w:t>
      </w:r>
    </w:p>
    <w:p w14:paraId="48AB5A5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自我声明程序根据不同类型的合格评定方式分为：自我声明程序A和自我声明程序B。强制性产品认证目录中标记*的7种产品适用自我声明程序A，标记**的11种产品适用自我声明程序B。</w:t>
      </w:r>
    </w:p>
    <w:p w14:paraId="2D3B57B3">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①自我声明程序A适用的合格评定方式如下：</w:t>
      </w:r>
    </w:p>
    <w:p w14:paraId="5E966ED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由自选实验室进行型式试验并出具型式试验报告，生产者（制造商）组织对其工厂质量保证能力进行自查并出具自查报告。其中，自选实验室的运行应符合相关法律法规要求，具备强制性认证适用标准的检测能力。</w:t>
      </w:r>
    </w:p>
    <w:p w14:paraId="1DD7084D">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或者，生产者（制造商）自主选择认证机构对其产品进行自愿性认证。其中，认证机构应依法设立，符合《认证机构管理办法》要求，具备相应领域的认证资质。认证过程应至少包括型式试验和工厂检查；进行型式实验的实验室应满足自选实验室的要求。</w:t>
      </w:r>
    </w:p>
    <w:p w14:paraId="24647A3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②自我声明程序B适用的合格评定方式如下：</w:t>
      </w:r>
    </w:p>
    <w:p w14:paraId="1046732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由指定实验室进行型式试验并出具型式试验报告，生产者（制造商）组织对其工厂质量保证能力进行自查并出具自查报告。</w:t>
      </w:r>
    </w:p>
    <w:p w14:paraId="2541733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或者，生产者（制造商）自主选择认证机构对其产品进行自愿性认证。其中，认证机构应依法设立，符合《认证机构管理办法》要求，具备相应领域的认证资质。认证过程应至少包括型式试验和工厂检查；进行型式实验的实验室应为指定实验室。</w:t>
      </w:r>
    </w:p>
    <w:p w14:paraId="5C29B1E3">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3</w:t>
      </w:r>
      <w:r>
        <w:rPr>
          <w:rFonts w:hint="eastAsia" w:ascii="Times New Roman" w:hAnsi="Times New Roman" w:cs="Times New Roman"/>
          <w:b/>
          <w:bCs/>
          <w:color w:val="000000"/>
          <w:kern w:val="2"/>
          <w:sz w:val="32"/>
          <w:szCs w:val="32"/>
          <w:lang w:val="en-US" w:eastAsia="zh-CN" w:bidi="ar"/>
        </w:rPr>
        <w:t>．</w:t>
      </w:r>
      <w:r>
        <w:rPr>
          <w:rFonts w:hint="default" w:ascii="Times New Roman" w:hAnsi="Times New Roman" w:eastAsia="仿宋_GB2312" w:cs="Times New Roman"/>
          <w:b/>
          <w:bCs/>
          <w:color w:val="000000"/>
          <w:kern w:val="2"/>
          <w:sz w:val="32"/>
          <w:szCs w:val="32"/>
          <w:lang w:val="en-US" w:eastAsia="zh-CN" w:bidi="ar"/>
        </w:rPr>
        <w:t>符合性信息报送要求。</w:t>
      </w:r>
    </w:p>
    <w:p w14:paraId="665C35B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①注册。企业使用国家市场监督管理总局自我声明符合性信息报送系统，打开网址</w:t>
      </w:r>
      <w:r>
        <w:rPr>
          <w:rStyle w:val="4"/>
          <w:rFonts w:hint="default" w:ascii="Times New Roman" w:hAnsi="Times New Roman" w:eastAsia="仿宋_GB2312" w:cs="Times New Roman"/>
          <w:color w:val="auto"/>
          <w:kern w:val="2"/>
          <w:sz w:val="32"/>
          <w:szCs w:val="32"/>
          <w:u w:val="none"/>
        </w:rPr>
        <w:t>https://sdoc.cnca.cn/mcsr/login</w:t>
      </w:r>
      <w:r>
        <w:rPr>
          <w:rFonts w:hint="default" w:ascii="Times New Roman" w:hAnsi="Times New Roman" w:eastAsia="仿宋_GB2312" w:cs="Times New Roman"/>
          <w:color w:val="000000"/>
          <w:kern w:val="2"/>
          <w:sz w:val="32"/>
          <w:szCs w:val="32"/>
          <w:lang w:val="en-US" w:eastAsia="zh-CN" w:bidi="ar"/>
        </w:rPr>
        <w:t>，点击【企业注册】，提交企业相关信息和资质证明文件。</w:t>
      </w:r>
    </w:p>
    <w:p w14:paraId="39411EA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②报送符合性信息。一般情况下，生产者（制造商）、授权代表（适用时）应报送以下符合性信息：</w:t>
      </w:r>
    </w:p>
    <w:p w14:paraId="644BC51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a）自我声明的产品信息；</w:t>
      </w:r>
    </w:p>
    <w:p w14:paraId="5CB9825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b）产品符合的标准信息；</w:t>
      </w:r>
    </w:p>
    <w:p w14:paraId="01C72D4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c）型式试验报告；</w:t>
      </w:r>
    </w:p>
    <w:p w14:paraId="3590C5CD">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d）工厂质量保证能力检查报告（自查或委托第三方）；</w:t>
      </w:r>
    </w:p>
    <w:p w14:paraId="29A8E89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e）自愿性产品认证证书相关信息（适用时）；</w:t>
      </w:r>
    </w:p>
    <w:p w14:paraId="7E8B9F4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f）自我声明涉及的实验室和认证机构（适用时）信息及有关资质证书；</w:t>
      </w:r>
    </w:p>
    <w:p w14:paraId="138A8D4D">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g）其他与产品符合性相关的资料。</w:t>
      </w:r>
    </w:p>
    <w:p w14:paraId="5A36E43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如生产者（制造商）以ODM模式委托设计、生产产品的，应报送符合性信息如下：</w:t>
      </w:r>
    </w:p>
    <w:p w14:paraId="0CE2321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a）自我声明的产品信息；</w:t>
      </w:r>
    </w:p>
    <w:p w14:paraId="0FFFBF6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b）产品符合的标准信息；</w:t>
      </w:r>
    </w:p>
    <w:p w14:paraId="454E5863">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c）型式试验报告；</w:t>
      </w:r>
    </w:p>
    <w:p w14:paraId="56CF629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d）生产者（制造商）与ODM初始自我声明生产者（制造商）和生产企业ODM协议；</w:t>
      </w:r>
    </w:p>
    <w:p w14:paraId="427C37E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e）生产者（制造商）与ODM初始自我声明生产者（制造商）和生产企业关于自我声明与产品质量安全责任的协议；</w:t>
      </w:r>
    </w:p>
    <w:p w14:paraId="76574B5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f）ODM产品铭牌（外部标识）；</w:t>
      </w:r>
    </w:p>
    <w:p w14:paraId="3A3C42D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g）其他与产品符合性相关的资料。</w:t>
      </w:r>
    </w:p>
    <w:p w14:paraId="4F9FA56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③签署并提交自我声明。系统根据报送信息自动生成“强制性认证产品符合性自我声明”，生产者（制造商）、授权代表（适用时）指定的签字人签署后上传系统，完成自我声明提交。自我声明相关信息可在认监委网站查询。</w:t>
      </w:r>
    </w:p>
    <w:p w14:paraId="389936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楷体-GB13000">
    <w:altName w:val="楷体_GB2312"/>
    <w:panose1 w:val="020005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B3C9B"/>
    <w:rsid w:val="0B7B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2025-06-11T07:07:00Z</dcterms:created>
  <dc:creator>胡翌婧</dc:creator>
  <cp:lastModifiedBy>胡翌婧</cp:lastModifiedBy>
  <dcterms:modified xsi:type="dcterms:W3CDTF">2025-06-11T07:08:08Z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BA286FAC998E4725AC8FE29079AF3F70_11</vt:lpwstr>
  </property>
  <property fmtid="{D5CDD505-2E9C-101B-9397-08002B2CF9AE}" pid="4" name="KSOTemplateDocerSaveRecord">
    <vt:lpwstr>eyJoZGlkIjoiODNjM2VkZWUwYjdkZDYzZGY2NmZiZGNiZGIyMjFjYWIiLCJ1c2VySWQiOiIyNDQ2MzYxMzgifQ==</vt:lpwstr>
  </property>
</Properties>
</file>