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医疗服务价格项目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使用说明</w:t>
      </w:r>
    </w:p>
    <w:p>
      <w:pPr>
        <w:widowControl/>
        <w:spacing w:line="600" w:lineRule="exact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</w:p>
    <w:p>
      <w:pPr>
        <w:widowControl w:val="0"/>
        <w:numPr>
          <w:ilvl w:val="0"/>
          <w:numId w:val="1"/>
        </w:numPr>
        <w:spacing w:beforeLines="0" w:afterLines="0" w:line="600" w:lineRule="exact"/>
        <w:ind w:firstLine="640" w:firstLineChars="200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项目分类</w:t>
      </w:r>
    </w:p>
    <w:p>
      <w:pPr>
        <w:widowControl w:val="0"/>
        <w:numPr>
          <w:ilvl w:val="-1"/>
          <w:numId w:val="0"/>
        </w:numPr>
        <w:spacing w:beforeLines="0" w:afterLines="0" w:line="600" w:lineRule="exact"/>
        <w:ind w:firstLine="640" w:firstLineChars="200"/>
        <w:outlineLvl w:val="9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基本医疗服务价格项目目录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年版）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广东省市场调节价医疗服务价格项目目录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所列医疗服务价格项目采用五级分类法。其中第一级分为综合医疗服务类、医技诊疗类、临床诊疗类、中医及民族医诊疗类。每类下可设第二至四级分类，第五级为医疗服务价格终极项目。其中临床诊疗类中“临床各系统诊疗”和“手术治疗”两类参照国际疾病分类（ICD-9-CM）的分类格式，按解剖部位从上至下，由近端到远端，由浅层到深层原则排序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项目分类的基本框架举例如下：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医疗服务价格项目</w:t>
      </w:r>
    </w:p>
    <w:tbl>
      <w:tblPr>
        <w:tblStyle w:val="7"/>
        <w:tblW w:w="7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948"/>
        <w:gridCol w:w="779"/>
        <w:gridCol w:w="780"/>
        <w:gridCol w:w="447"/>
        <w:gridCol w:w="333"/>
        <w:gridCol w:w="780"/>
        <w:gridCol w:w="139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综合医疗服务类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医技诊疗类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临床诊疗类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中医及民族医诊疗类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4   （一级分类）</w:t>
            </w:r>
          </w:p>
        </w:tc>
      </w:tr>
    </w:tbl>
    <w:p>
      <w:pPr>
        <w:widowControl/>
        <w:spacing w:line="240" w:lineRule="exac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tbl>
      <w:tblPr>
        <w:tblStyle w:val="7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918"/>
        <w:gridCol w:w="1107"/>
        <w:gridCol w:w="1107"/>
        <w:gridCol w:w="40"/>
        <w:gridCol w:w="607"/>
        <w:gridCol w:w="648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09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8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临床各系统诊疗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经血管介入性治疗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手术治疗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物理治疗与康复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34  （二级分类）</w:t>
            </w:r>
          </w:p>
        </w:tc>
      </w:tr>
    </w:tbl>
    <w:p>
      <w:pPr>
        <w:widowControl/>
        <w:spacing w:line="24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tbl>
      <w:tblPr>
        <w:tblStyle w:val="7"/>
        <w:tblW w:w="8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355"/>
        <w:gridCol w:w="850"/>
        <w:gridCol w:w="851"/>
        <w:gridCol w:w="921"/>
        <w:gridCol w:w="901"/>
        <w:gridCol w:w="20"/>
        <w:gridCol w:w="663"/>
        <w:gridCol w:w="663"/>
        <w:gridCol w:w="712"/>
        <w:gridCol w:w="712"/>
        <w:gridCol w:w="73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32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2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神经系统手术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内分泌系统手术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眼部手术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耳部手术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</w:t>
            </w: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3305   ……（三级分类）</w:t>
            </w:r>
          </w:p>
        </w:tc>
      </w:tr>
    </w:tbl>
    <w:p>
      <w:pPr>
        <w:widowControl/>
        <w:spacing w:line="24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tbl>
      <w:tblPr>
        <w:tblStyle w:val="7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83"/>
        <w:gridCol w:w="595"/>
        <w:gridCol w:w="595"/>
        <w:gridCol w:w="708"/>
        <w:gridCol w:w="709"/>
        <w:gridCol w:w="736"/>
        <w:gridCol w:w="43"/>
        <w:gridCol w:w="780"/>
        <w:gridCol w:w="1205"/>
        <w:gridCol w:w="1206"/>
        <w:gridCol w:w="63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9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82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眼睑手术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泪器手术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结膜手术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角膜手术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虹膜睫状体和前房手术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330404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330405  ……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（四级分类）</w:t>
            </w:r>
          </w:p>
        </w:tc>
      </w:tr>
    </w:tbl>
    <w:p>
      <w:pPr>
        <w:widowControl/>
        <w:spacing w:line="240" w:lineRule="exac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tbl>
      <w:tblPr>
        <w:tblStyle w:val="7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3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93" w:type="dxa"/>
            <w:tcBorders>
              <w:top w:val="nil"/>
              <w:lef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6" w:type="dxa"/>
            <w:gridSpan w:val="2"/>
            <w:tcBorders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left="1155" w:leftChars="55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330404001 表层角膜镜片镶嵌术      （第五级：终极项目）</w:t>
            </w:r>
          </w:p>
          <w:p>
            <w:pPr>
              <w:widowControl/>
              <w:ind w:left="1155" w:leftChars="55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330404002 近视性放射状角膜切开术 ……</w:t>
            </w:r>
          </w:p>
        </w:tc>
      </w:tr>
    </w:tbl>
    <w:p>
      <w:pPr>
        <w:widowControl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医疗服务价格项目要素</w:t>
      </w:r>
    </w:p>
    <w:p>
      <w:pPr>
        <w:widowControl/>
        <w:numPr>
          <w:ilvl w:val="-1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每项医疗服务价格项目设“财务分类”、“编码”、“项目名称”、“项目内涵”、“除外内容”、“计价单位”、“价格”和“说明”八个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要素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1.财务分类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财务分类是根据财政部和卫生健康委颁布的《医院财务制度》规定的医疗收入项目类别确定的，财务分类码采用大写英文字母，其中： B为床位费、C为诊查费、D为检查费、E为治疗费、F为护理费、G为手术费、H为化验费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，I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其他费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2.项目编码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项目编码采用顺序码，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主项目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设为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位。从左至右第1位为一级分类码，第2位为二级分类码，第3－4位为三级分类码，第5－6位为四级分类码，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第7位之后为项目顺序码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以全国</w:t>
      </w:r>
      <w:r>
        <w:rPr>
          <w:rFonts w:hint="default" w:ascii="Times New Roman" w:hAnsi="Times New Roman" w:eastAsia="仿宋_GB2312"/>
          <w:sz w:val="32"/>
          <w:szCs w:val="32"/>
        </w:rPr>
        <w:t>统一的9位编码为基础，采用9+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N</w:t>
      </w:r>
      <w:r>
        <w:rPr>
          <w:rFonts w:hint="default" w:ascii="Times New Roman" w:hAnsi="Times New Roman" w:eastAsia="仿宋_GB2312"/>
          <w:sz w:val="32"/>
          <w:szCs w:val="32"/>
        </w:rPr>
        <w:t>位编码管理，每一个编码对应一个项目。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部分类别项目因分类简单，无第三、四级分类，分类编码记为“00”。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市场调节价医疗服务价格项目，医疗机构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可根据成本等情况制定不同的价格标准，收费编码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省医保局公布同一项目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编码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用“/1、/2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...”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顺延编号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3.项目名称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为中文标准名称，部分项目名称中在括号内列出西文名称或缩写。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市场调节价医疗服务价格项目如顺延编码，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收费项目名称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加后缀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（如部位、方法等）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进行区分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4.项目内涵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用于规范项目的服务范围、内容、方式和手段。项目内涵使用“含”、“指”、“不含”三个专用名词进行界定：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⑴ 含：表示在医疗服务项目中应当提供的服务内容，这些服务内容不得单独分解收费。但在特殊情况下，由于患者病情需要只提供其中部分服务内容,也按此项标准计价。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⑵指：在“指”后面所列的内容，指完成该诊疗项目的不同方法，或该诊疗项目的适用范围。如无特别说明，不得重复计费。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⑶不含：在“不含”后面所列的服务内容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单独计价。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5.除外内容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指在医疗服务项目中需要另行收费的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医用耗材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和组织器官移植的供体等。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6.计价单位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指提供该项目服务时的基本计价方式。</w:t>
      </w:r>
    </w:p>
    <w:p>
      <w:pPr>
        <w:widowControl/>
        <w:numPr>
          <w:ilvl w:val="-1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价格</w:t>
      </w:r>
    </w:p>
    <w:p>
      <w:pPr>
        <w:widowControl/>
        <w:numPr>
          <w:ilvl w:val="-1"/>
          <w:numId w:val="0"/>
        </w:num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指完成该项目服务可以收取的费用，为各地市公立医疗机构医疗服务政府指导价。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.说明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指本项目在定价时需要特殊说明的相关事宜。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三、关于项目查找的说明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多科室共同使用的项目统一归入综合医疗服务类。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临床各系统诊疗类和手术治疗类项目不按临床科室列项，请参照国际疾病分类顺序，按照相应的解剖系统和部位查找。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两个以上医技科室均可开展的医技诊疗项目，查找时请注意医技诊疗类的说明。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开展医保部门公布项目未覆盖的新医疗技术或新医疗活动需要收费，请按照管理权限和规定申请立项。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四、需要说明的几点问题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1.在同一服务内容中，《基本医疗服务项目价格》不以设备、试剂的型号和产地分别立项。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2.提供各项医疗服务必须按医嘱要求或护理记录进行，无医嘱要求或护理记录的服务项目不得收费。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3．监护（监测）收费必须提供监护（监测）记录、监护（监测）结论报告等依据。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4．收取各类片费、图文报告费，必须向患者提供胶片（图片）或图文报告，用于教学目的或医院存档目的的胶片（图片）和图文报告不得向患者收费。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5．“除外内容”和“说明”中未明确规定可另外计费的医疗器械、一次性医用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消耗材料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等，一律不得另外收费；患者需使用“除外内容”中列明的需另外计费的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特殊医用消耗材料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时，医疗机构应事先征得患者或家属同意，未经患者或家属同意的，不得收费。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6.“项目内涵”中未注明“含药物”的，药物可另行收费。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7.所有医疗服务项目收费需符合卫生管理规定及具备相关资质。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8.因操作失误、仪器性能差错等原因，导致需要重新检查、检验及治疗的，一律不得向患者另行收费。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left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left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888636"/>
    <w:multiLevelType w:val="singleLevel"/>
    <w:tmpl w:val="B48886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1263C1"/>
    <w:multiLevelType w:val="singleLevel"/>
    <w:tmpl w:val="171263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11"/>
    <w:rsid w:val="00240227"/>
    <w:rsid w:val="009C4B85"/>
    <w:rsid w:val="00BB3D19"/>
    <w:rsid w:val="00C34E0F"/>
    <w:rsid w:val="00E95B11"/>
    <w:rsid w:val="00EA4122"/>
    <w:rsid w:val="0117218F"/>
    <w:rsid w:val="01D21099"/>
    <w:rsid w:val="058502E7"/>
    <w:rsid w:val="07533FFB"/>
    <w:rsid w:val="0DC21A39"/>
    <w:rsid w:val="0EDE6E57"/>
    <w:rsid w:val="0F524ACA"/>
    <w:rsid w:val="13F12696"/>
    <w:rsid w:val="1854231F"/>
    <w:rsid w:val="1A20629A"/>
    <w:rsid w:val="1B135858"/>
    <w:rsid w:val="1BD1170E"/>
    <w:rsid w:val="1F291EDD"/>
    <w:rsid w:val="203618CF"/>
    <w:rsid w:val="20BD6985"/>
    <w:rsid w:val="244817D1"/>
    <w:rsid w:val="2BD3034C"/>
    <w:rsid w:val="2EC67949"/>
    <w:rsid w:val="338319F9"/>
    <w:rsid w:val="346143FF"/>
    <w:rsid w:val="35045783"/>
    <w:rsid w:val="36474EB7"/>
    <w:rsid w:val="3B7D11D5"/>
    <w:rsid w:val="401054E1"/>
    <w:rsid w:val="414D0494"/>
    <w:rsid w:val="41DA32C6"/>
    <w:rsid w:val="437E5844"/>
    <w:rsid w:val="4B4F4F4C"/>
    <w:rsid w:val="4DFF59F9"/>
    <w:rsid w:val="5014488A"/>
    <w:rsid w:val="50B63CE2"/>
    <w:rsid w:val="51CC32F5"/>
    <w:rsid w:val="53375B37"/>
    <w:rsid w:val="53F920F0"/>
    <w:rsid w:val="553278D9"/>
    <w:rsid w:val="5C52491D"/>
    <w:rsid w:val="608B686F"/>
    <w:rsid w:val="628A4DEE"/>
    <w:rsid w:val="62E94EA4"/>
    <w:rsid w:val="6A96729C"/>
    <w:rsid w:val="6C081C19"/>
    <w:rsid w:val="6CEE2CDF"/>
    <w:rsid w:val="6CFA2465"/>
    <w:rsid w:val="72333108"/>
    <w:rsid w:val="76701FC6"/>
    <w:rsid w:val="DBDB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批注框文本1"/>
    <w:basedOn w:val="1"/>
    <w:link w:val="11"/>
    <w:qFormat/>
    <w:uiPriority w:val="0"/>
    <w:rPr>
      <w:sz w:val="18"/>
      <w:szCs w:val="18"/>
    </w:rPr>
  </w:style>
  <w:style w:type="character" w:customStyle="1" w:styleId="11">
    <w:name w:val="批注框文本 Char"/>
    <w:basedOn w:val="8"/>
    <w:link w:val="10"/>
    <w:semiHidden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0"/>
    <w:rPr>
      <w:sz w:val="18"/>
      <w:szCs w:val="18"/>
    </w:rPr>
  </w:style>
  <w:style w:type="character" w:customStyle="1" w:styleId="13">
    <w:name w:val="页眉 字符"/>
    <w:basedOn w:val="8"/>
    <w:link w:val="5"/>
    <w:semiHidden/>
    <w:qFormat/>
    <w:uiPriority w:val="0"/>
    <w:rPr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仿宋_GB2312" w:eastAsia="仿宋_GB2312"/>
      <w:b/>
      <w:bCs/>
      <w:color w:val="000000"/>
      <w:sz w:val="28"/>
      <w:szCs w:val="28"/>
      <w:u w:val="none"/>
    </w:rPr>
  </w:style>
  <w:style w:type="character" w:customStyle="1" w:styleId="15">
    <w:name w:val="font11"/>
    <w:basedOn w:val="8"/>
    <w:qFormat/>
    <w:uiPriority w:val="0"/>
    <w:rPr>
      <w:rFonts w:hint="eastAsia" w:ascii="仿宋_GB2312" w:eastAsia="仿宋_GB2312"/>
      <w:color w:val="000000"/>
      <w:sz w:val="28"/>
      <w:szCs w:val="28"/>
      <w:u w:val="none"/>
    </w:rPr>
  </w:style>
  <w:style w:type="character" w:customStyle="1" w:styleId="16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批注文字 字符"/>
    <w:basedOn w:val="8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9">
    <w:name w:val="批注主题 字符"/>
    <w:basedOn w:val="18"/>
    <w:link w:val="6"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319</Words>
  <Characters>1823</Characters>
  <Lines>15</Lines>
  <Paragraphs>4</Paragraphs>
  <TotalTime>1</TotalTime>
  <ScaleCrop>false</ScaleCrop>
  <LinksUpToDate>false</LinksUpToDate>
  <CharactersWithSpaces>2138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2016-01-12T01:06:00Z</dcterms:created>
  <dc:creator>微软用户</dc:creator>
  <cp:lastModifiedBy>朱苏琴</cp:lastModifiedBy>
  <cp:lastPrinted>2016-01-30T00:17:00Z</cp:lastPrinted>
  <dcterms:modified xsi:type="dcterms:W3CDTF">2025-02-24T07:50:17Z</dcterms:modified>
  <dc:title>微软用户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0739inqofqajk90mrd5jh0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342650</vt:lpwstr>
  </property>
  <property fmtid="{D5CDD505-2E9C-101B-9397-08002B2CF9AE}" pid="9" name="cp_itemType">
    <vt:lpwstr>missive</vt:lpwstr>
  </property>
  <property fmtid="{D5CDD505-2E9C-101B-9397-08002B2CF9AE}" pid="10" name="cp_title">
    <vt:lpwstr>广东省医疗保障局关于公布《广东省基本医疗服务价格项目目录（2021年版）》和《广东省市场调节价医疗服务价格项目目录（2021年版）》的通知</vt:lpwstr>
  </property>
  <property fmtid="{D5CDD505-2E9C-101B-9397-08002B2CF9AE}" pid="11" name="hideWpsMarks">
    <vt:i4>0</vt:i4>
  </property>
  <property fmtid="{D5CDD505-2E9C-101B-9397-08002B2CF9AE}" pid="12" name="openType">
    <vt:lpwstr>1</vt:lpwstr>
  </property>
  <property fmtid="{D5CDD505-2E9C-101B-9397-08002B2CF9AE}" pid="13" name="openFlag">
    <vt:bool>true</vt:bool>
  </property>
  <property fmtid="{D5CDD505-2E9C-101B-9397-08002B2CF9AE}" pid="14" name="showFlag">
    <vt:bool>true</vt:bool>
  </property>
  <property fmtid="{D5CDD505-2E9C-101B-9397-08002B2CF9AE}" pid="15" name="showButton">
    <vt:lpwstr>WPSExtOfficeTab;btnShowRevision;btnUploadOA</vt:lpwstr>
  </property>
  <property fmtid="{D5CDD505-2E9C-101B-9397-08002B2CF9AE}" pid="16" name="uploadPath">
    <vt:lpwstr>https://xtbgsafe.gdzwfw.gov.cn/szoa/instance-web/minstone/wfDocBody/saveFileBody?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17" name="urlParams">
    <vt:lpwstr>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18" name="lockDocUrl">
    <vt:lpwstr>https://xtbgsafe.gdzwfw.gov.cn/szoa/instance-web/minstone/wfDocBody/getLockInfo?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19" name="copyUrl">
    <vt:lpwstr>https://xtbgsafe.gdzwfw.gov.cn/szoa/instance-web/minstone/wfDocBody/copyDoc?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20" name="unLockDocurl">
    <vt:lpwstr>https://xtbgsafe.gdzwfw.gov.cn/szoa/instance-web/minstone/wfDocBody/unLockDoc?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