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ED4A8">
      <w:pPr>
        <w:autoSpaceDE w:val="0"/>
        <w:autoSpaceDN w:val="0"/>
        <w:adjustRightInd w:val="0"/>
        <w:spacing w:line="520" w:lineRule="atLeast"/>
        <w:rPr>
          <w:rFonts w:ascii="黑体" w:hAnsi="黑体" w:eastAsia="黑体" w:cs="黑体"/>
          <w:kern w:val="0"/>
          <w:sz w:val="32"/>
          <w:szCs w:val="48"/>
        </w:rPr>
      </w:pPr>
      <w:r>
        <w:rPr>
          <w:rFonts w:hint="eastAsia" w:ascii="黑体" w:hAnsi="黑体" w:eastAsia="黑体" w:cs="黑体"/>
          <w:kern w:val="0"/>
          <w:sz w:val="32"/>
          <w:szCs w:val="4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48"/>
        </w:rPr>
        <w:t>3</w:t>
      </w:r>
    </w:p>
    <w:p w14:paraId="6654F9DD">
      <w:pPr>
        <w:spacing w:line="800" w:lineRule="exact"/>
        <w:jc w:val="center"/>
        <w:rPr>
          <w:rFonts w:ascii="宋体" w:hAnsi="宋体" w:eastAsia="方正小标宋简体"/>
          <w:sz w:val="44"/>
        </w:rPr>
      </w:pPr>
    </w:p>
    <w:p w14:paraId="052F00D0">
      <w:pPr>
        <w:spacing w:line="800" w:lineRule="exact"/>
        <w:jc w:val="center"/>
        <w:rPr>
          <w:rFonts w:ascii="宋体" w:hAnsi="宋体" w:eastAsia="方正小标宋简体"/>
          <w:sz w:val="44"/>
        </w:rPr>
      </w:pPr>
      <w:bookmarkStart w:id="0" w:name="_GoBack"/>
      <w:r>
        <w:rPr>
          <w:rFonts w:hint="eastAsia" w:ascii="宋体" w:hAnsi="宋体" w:eastAsia="方正小标宋简体"/>
          <w:sz w:val="44"/>
        </w:rPr>
        <w:t>基金设立方案（参考模板）</w:t>
      </w:r>
      <w:bookmarkEnd w:id="0"/>
    </w:p>
    <w:p w14:paraId="690280F7">
      <w:pPr>
        <w:rPr>
          <w:rFonts w:ascii="宋体" w:hAnsi="宋体"/>
        </w:rPr>
      </w:pPr>
    </w:p>
    <w:p w14:paraId="605763B5">
      <w:pPr>
        <w:spacing w:line="580" w:lineRule="exact"/>
        <w:ind w:firstLine="640" w:firstLineChars="200"/>
        <w:jc w:val="left"/>
        <w:rPr>
          <w:rFonts w:ascii="宋体" w:hAnsi="宋体" w:eastAsia="黑体"/>
          <w:sz w:val="32"/>
          <w:szCs w:val="48"/>
        </w:rPr>
      </w:pPr>
      <w:r>
        <w:rPr>
          <w:rFonts w:hint="eastAsia" w:ascii="宋体" w:hAnsi="宋体" w:eastAsia="黑体"/>
          <w:sz w:val="32"/>
          <w:szCs w:val="48"/>
        </w:rPr>
        <w:t>一、设立背景和目标</w:t>
      </w:r>
    </w:p>
    <w:p w14:paraId="7D163D0F">
      <w:pPr>
        <w:spacing w:line="580" w:lineRule="exact"/>
        <w:ind w:firstLine="640" w:firstLineChars="200"/>
        <w:jc w:val="left"/>
        <w:rPr>
          <w:rFonts w:ascii="宋体" w:hAnsi="宋体" w:eastAsia="黑体"/>
          <w:sz w:val="32"/>
          <w:szCs w:val="48"/>
        </w:rPr>
      </w:pPr>
      <w:r>
        <w:rPr>
          <w:rFonts w:hint="eastAsia" w:ascii="宋体" w:hAnsi="宋体" w:eastAsia="黑体"/>
          <w:sz w:val="32"/>
          <w:szCs w:val="48"/>
        </w:rPr>
        <w:t>二、基金基本情况</w:t>
      </w:r>
    </w:p>
    <w:p w14:paraId="176870A5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（一）基金概况</w:t>
      </w:r>
    </w:p>
    <w:p w14:paraId="289DF39D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包括但不限于拟设立基金规模、管理团队情况、资金募集、项目储备情况及申请机构的优势。</w:t>
      </w:r>
    </w:p>
    <w:p w14:paraId="11526A0E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（二）基金情况</w:t>
      </w:r>
    </w:p>
    <w:p w14:paraId="7D6437A7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1.基金名称</w:t>
      </w:r>
    </w:p>
    <w:p w14:paraId="54498B66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2.基金组织形式</w:t>
      </w:r>
    </w:p>
    <w:p w14:paraId="6F5A297A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3.基金注册地址</w:t>
      </w:r>
    </w:p>
    <w:p w14:paraId="7CC07D19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4.基金规模</w:t>
      </w:r>
    </w:p>
    <w:p w14:paraId="5F2CCA68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5.基金主发起人情况</w:t>
      </w:r>
    </w:p>
    <w:p w14:paraId="46E03A76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6.基金出资人情况</w:t>
      </w:r>
    </w:p>
    <w:p w14:paraId="00D2B4F4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7.基金组织架构</w:t>
      </w:r>
    </w:p>
    <w:p w14:paraId="61FB956E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8.基金投资领域</w:t>
      </w:r>
    </w:p>
    <w:p w14:paraId="61384714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9.基金存续期限</w:t>
      </w:r>
    </w:p>
    <w:p w14:paraId="03D684AA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10.基金托管意向</w:t>
      </w:r>
    </w:p>
    <w:p w14:paraId="5A4445BF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11.其他</w:t>
      </w:r>
    </w:p>
    <w:p w14:paraId="1930D9D0">
      <w:pPr>
        <w:autoSpaceDN w:val="0"/>
        <w:spacing w:line="580" w:lineRule="exact"/>
        <w:ind w:firstLine="627" w:firstLineChars="196"/>
        <w:rPr>
          <w:rFonts w:ascii="宋体" w:hAnsi="宋体" w:eastAsia="黑体" w:cs="仿宋"/>
          <w:sz w:val="32"/>
          <w:szCs w:val="48"/>
        </w:rPr>
      </w:pPr>
      <w:r>
        <w:rPr>
          <w:rFonts w:hint="eastAsia" w:ascii="宋体" w:hAnsi="宋体" w:eastAsia="黑体" w:cs="仿宋"/>
          <w:sz w:val="32"/>
          <w:szCs w:val="48"/>
        </w:rPr>
        <w:t>三、基金管理人情况</w:t>
      </w:r>
    </w:p>
    <w:p w14:paraId="29E45114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（一）基金管理人简介</w:t>
      </w:r>
    </w:p>
    <w:p w14:paraId="2816388E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（二）基金管理人股权结构</w:t>
      </w:r>
    </w:p>
    <w:p w14:paraId="7FA234CC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（三）基金管理人组织架构</w:t>
      </w:r>
    </w:p>
    <w:p w14:paraId="46ED86BD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（四）基金管理团队简介（需明确常驻人员情况）</w:t>
      </w:r>
    </w:p>
    <w:p w14:paraId="1385BD53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（五）基金管理人及基金管理团队历史投资业绩</w:t>
      </w:r>
    </w:p>
    <w:p w14:paraId="58DC6D85">
      <w:pPr>
        <w:spacing w:line="580" w:lineRule="exact"/>
        <w:ind w:firstLine="640" w:firstLineChars="200"/>
        <w:jc w:val="left"/>
        <w:rPr>
          <w:rFonts w:ascii="宋体" w:hAnsi="宋体" w:eastAsia="黑体"/>
          <w:sz w:val="32"/>
          <w:szCs w:val="48"/>
        </w:rPr>
      </w:pPr>
      <w:r>
        <w:rPr>
          <w:rFonts w:hint="eastAsia" w:ascii="宋体" w:hAnsi="宋体" w:eastAsia="黑体"/>
          <w:sz w:val="32"/>
          <w:szCs w:val="48"/>
        </w:rPr>
        <w:t>四、基金募集</w:t>
      </w:r>
    </w:p>
    <w:p w14:paraId="4E5B0481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（一）基金募集计划及当前进度情况</w:t>
      </w:r>
    </w:p>
    <w:p w14:paraId="67740674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（二）申请股权投资基金规模及出资比例</w:t>
      </w:r>
    </w:p>
    <w:p w14:paraId="5558F30A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（三）其他出资人出资金额及出资比例</w:t>
      </w:r>
    </w:p>
    <w:p w14:paraId="12E457AB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（四）出资人（含基金管理人）之间的股权、债权或亲属等关联关系说明</w:t>
      </w:r>
    </w:p>
    <w:p w14:paraId="57524EFC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（五）已确认的出资人如有特殊诉求（包括基金的投资方向、收益分配等方面）需予以说明</w:t>
      </w:r>
    </w:p>
    <w:p w14:paraId="071980CE">
      <w:pPr>
        <w:spacing w:line="580" w:lineRule="exact"/>
        <w:ind w:firstLine="640" w:firstLineChars="200"/>
        <w:jc w:val="left"/>
        <w:rPr>
          <w:rFonts w:ascii="宋体" w:hAnsi="宋体" w:eastAsia="黑体"/>
          <w:sz w:val="32"/>
          <w:szCs w:val="48"/>
        </w:rPr>
      </w:pPr>
      <w:r>
        <w:rPr>
          <w:rFonts w:hint="eastAsia" w:ascii="宋体" w:hAnsi="宋体" w:eastAsia="黑体"/>
          <w:sz w:val="32"/>
          <w:szCs w:val="48"/>
        </w:rPr>
        <w:t>五、基金投资</w:t>
      </w:r>
    </w:p>
    <w:p w14:paraId="61091C32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（一）基金投资领域</w:t>
      </w:r>
    </w:p>
    <w:p w14:paraId="6FDFBD3B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（二）基金投资策略</w:t>
      </w:r>
    </w:p>
    <w:p w14:paraId="63C8FC95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（三）拟投项目投资价值分析、与项目企业签署的框架协议或合作意向证明（如有）</w:t>
      </w:r>
    </w:p>
    <w:p w14:paraId="5D9683BE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（四）项目储备情况（如有）</w:t>
      </w:r>
    </w:p>
    <w:p w14:paraId="2BF823BF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（五）基金投资限制说明</w:t>
      </w:r>
    </w:p>
    <w:p w14:paraId="70A5209D">
      <w:pPr>
        <w:spacing w:line="580" w:lineRule="exact"/>
        <w:ind w:firstLine="640" w:firstLineChars="200"/>
        <w:jc w:val="left"/>
        <w:rPr>
          <w:rFonts w:ascii="宋体" w:hAnsi="宋体" w:eastAsia="黑体"/>
          <w:sz w:val="32"/>
          <w:szCs w:val="48"/>
        </w:rPr>
      </w:pPr>
      <w:r>
        <w:rPr>
          <w:rFonts w:hint="eastAsia" w:ascii="宋体" w:hAnsi="宋体" w:eastAsia="黑体"/>
          <w:sz w:val="32"/>
          <w:szCs w:val="48"/>
        </w:rPr>
        <w:t>六、基金管理</w:t>
      </w:r>
    </w:p>
    <w:p w14:paraId="43CAD38B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（一）投资决策机制</w:t>
      </w:r>
    </w:p>
    <w:p w14:paraId="5241509D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1.基金股东会/合伙人大会、董事会权责划分</w:t>
      </w:r>
    </w:p>
    <w:p w14:paraId="52B18BA0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2.基金管理人股东会、董事会权责划分</w:t>
      </w:r>
    </w:p>
    <w:p w14:paraId="30C9985C">
      <w:pPr>
        <w:autoSpaceDN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3.基金投资决策委员会权责划分及议事规则</w:t>
      </w:r>
    </w:p>
    <w:p w14:paraId="2DA76E8A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（二）项目遴选标准</w:t>
      </w:r>
    </w:p>
    <w:p w14:paraId="00E16238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（三）投后管理策略及增值服务</w:t>
      </w:r>
    </w:p>
    <w:p w14:paraId="7394E91D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（四）投资退出渠道及退出机制</w:t>
      </w:r>
    </w:p>
    <w:p w14:paraId="61A6D0F7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（五）基金风险防范制度</w:t>
      </w:r>
    </w:p>
    <w:p w14:paraId="003BED42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（六）基金关联交易表决机制</w:t>
      </w:r>
    </w:p>
    <w:p w14:paraId="1FCA29AA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（七）基金拟实行的会计核算与财务管理制度</w:t>
      </w:r>
    </w:p>
    <w:p w14:paraId="427D35E5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（八）基金止损机制</w:t>
      </w:r>
    </w:p>
    <w:p w14:paraId="37A10A16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（九）基金潜在同业竞争的情况说明</w:t>
      </w:r>
    </w:p>
    <w:p w14:paraId="4609F776">
      <w:pPr>
        <w:spacing w:line="580" w:lineRule="exact"/>
        <w:ind w:firstLine="640" w:firstLineChars="200"/>
        <w:jc w:val="left"/>
        <w:rPr>
          <w:rFonts w:ascii="宋体" w:hAnsi="宋体" w:eastAsia="黑体"/>
          <w:sz w:val="32"/>
          <w:szCs w:val="48"/>
        </w:rPr>
      </w:pPr>
      <w:r>
        <w:rPr>
          <w:rFonts w:hint="eastAsia" w:ascii="宋体" w:hAnsi="宋体" w:eastAsia="黑体"/>
          <w:sz w:val="32"/>
          <w:szCs w:val="48"/>
        </w:rPr>
        <w:t>七、费用</w:t>
      </w:r>
    </w:p>
    <w:p w14:paraId="100070B2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（一）基金承担费用</w:t>
      </w:r>
    </w:p>
    <w:p w14:paraId="589AD7ED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（二）基金管理人承担费用</w:t>
      </w:r>
    </w:p>
    <w:p w14:paraId="28C742C1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（三）基金管理费计提方法</w:t>
      </w:r>
    </w:p>
    <w:p w14:paraId="060B9647">
      <w:pPr>
        <w:spacing w:line="580" w:lineRule="exact"/>
        <w:ind w:firstLine="640" w:firstLineChars="200"/>
        <w:jc w:val="left"/>
        <w:rPr>
          <w:rFonts w:ascii="宋体" w:hAnsi="宋体" w:eastAsia="黑体"/>
          <w:sz w:val="32"/>
          <w:szCs w:val="48"/>
        </w:rPr>
      </w:pPr>
      <w:r>
        <w:rPr>
          <w:rFonts w:hint="eastAsia" w:ascii="宋体" w:hAnsi="宋体" w:eastAsia="黑体"/>
          <w:sz w:val="32"/>
          <w:szCs w:val="48"/>
        </w:rPr>
        <w:t>八、基金收益分配与清算</w:t>
      </w:r>
    </w:p>
    <w:p w14:paraId="75A4AED8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（一）收益分配机制</w:t>
      </w:r>
    </w:p>
    <w:p w14:paraId="4BC9F4A8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（二）基金解散条件</w:t>
      </w:r>
    </w:p>
    <w:p w14:paraId="445FEB70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（三）基金清算原则</w:t>
      </w:r>
    </w:p>
    <w:p w14:paraId="3A0999B8">
      <w:pPr>
        <w:autoSpaceDN w:val="0"/>
        <w:snapToGrid w:val="0"/>
        <w:spacing w:line="580" w:lineRule="exact"/>
        <w:ind w:firstLine="640" w:firstLineChars="200"/>
        <w:rPr>
          <w:rFonts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（四）基金清算程序</w:t>
      </w:r>
    </w:p>
    <w:p w14:paraId="78BAFA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F7AE2B-0B5E-4FB4-8296-64BECB7B8F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2075AC-6460-4540-AEA1-73194531DAE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7B43191-B62E-41DF-BA9F-B57B8277416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2CB56CB-287D-4886-A5E8-6398A027098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9210CF2-9F8A-42E1-89F0-69201DA436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640D1"/>
    <w:rsid w:val="535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2025-03-18T10:02:00Z</dcterms:created>
  <dc:creator>WPS_1535977167</dc:creator>
  <cp:lastModifiedBy>WPS_1535977167</cp:lastModifiedBy>
  <dcterms:modified xsi:type="dcterms:W3CDTF">2025-03-18T10:03:06Z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67F357C1ED2A4F3EAF0F78C179A75F81_11</vt:lpwstr>
  </property>
  <property fmtid="{D5CDD505-2E9C-101B-9397-08002B2CF9AE}" pid="4" name="KSOTemplateDocerSaveRecord">
    <vt:lpwstr>eyJoZGlkIjoiOGYxZjE3ZGZiYThiMmJkMzcyOTE3ZmJiNmJjNDhmNjQiLCJ1c2VySWQiOiI0MDA5MTIzNTQifQ==</vt:lpwstr>
  </property>
</Properties>
</file>