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35" w:rsidRDefault="009A6335">
      <w:pPr>
        <w:pStyle w:val="BodyText"/>
        <w:spacing w:line="520" w:lineRule="exact"/>
        <w:rPr>
          <w:rFonts w:ascii="方正小标宋简体" w:eastAsia="方正小标宋简体" w:hAnsi="Times New Roman" w:cs="方正小标宋简体"/>
          <w:sz w:val="40"/>
          <w:szCs w:val="40"/>
        </w:rPr>
      </w:pPr>
      <w:r>
        <w:rPr>
          <w:rFonts w:ascii="黑体" w:eastAsia="黑体" w:hAnsi="黑体" w:cs="黑体" w:hint="eastAsia"/>
          <w:sz w:val="32"/>
          <w:szCs w:val="32"/>
        </w:rPr>
        <w:t>附件</w:t>
      </w:r>
      <w:r>
        <w:rPr>
          <w:rFonts w:ascii="方正小标宋简体" w:eastAsia="方正小标宋简体" w:hAnsi="Times New Roman" w:cs="方正小标宋简体"/>
          <w:sz w:val="40"/>
          <w:szCs w:val="40"/>
        </w:rPr>
        <w:t xml:space="preserve">   </w:t>
      </w:r>
    </w:p>
    <w:p w:rsidR="009A6335" w:rsidRDefault="009A6335">
      <w:pPr>
        <w:pStyle w:val="BodyText"/>
        <w:spacing w:line="480" w:lineRule="auto"/>
        <w:jc w:val="center"/>
        <w:rPr>
          <w:rFonts w:ascii="方正小标宋简体" w:eastAsia="方正小标宋简体"/>
        </w:rPr>
      </w:pPr>
      <w:r>
        <w:rPr>
          <w:rFonts w:ascii="方正小标宋简体" w:eastAsia="方正小标宋简体" w:hAnsi="Times New Roman" w:cs="方正小标宋简体" w:hint="eastAsia"/>
        </w:rPr>
        <w:t>公开征集意见采纳情况表</w:t>
      </w:r>
    </w:p>
    <w:tbl>
      <w:tblPr>
        <w:tblW w:w="143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5"/>
        <w:gridCol w:w="1936"/>
        <w:gridCol w:w="5590"/>
        <w:gridCol w:w="5936"/>
      </w:tblGrid>
      <w:tr w:rsidR="009A6335">
        <w:trPr>
          <w:trHeight w:val="647"/>
        </w:trPr>
        <w:tc>
          <w:tcPr>
            <w:tcW w:w="865" w:type="dxa"/>
            <w:vAlign w:val="center"/>
          </w:tcPr>
          <w:p w:rsidR="009A6335" w:rsidRPr="00676BDC" w:rsidRDefault="009A6335" w:rsidP="00676BDC">
            <w:pPr>
              <w:spacing w:line="320" w:lineRule="exact"/>
              <w:jc w:val="center"/>
              <w:rPr>
                <w:rFonts w:ascii="黑体" w:eastAsia="黑体" w:hAnsi="黑体" w:cs="Times New Roman"/>
                <w:sz w:val="28"/>
                <w:szCs w:val="28"/>
              </w:rPr>
            </w:pPr>
            <w:r w:rsidRPr="00676BDC">
              <w:rPr>
                <w:rFonts w:ascii="黑体" w:eastAsia="黑体" w:hAnsi="黑体" w:cs="黑体" w:hint="eastAsia"/>
                <w:sz w:val="28"/>
                <w:szCs w:val="28"/>
              </w:rPr>
              <w:t>序号</w:t>
            </w:r>
          </w:p>
        </w:tc>
        <w:tc>
          <w:tcPr>
            <w:tcW w:w="1936" w:type="dxa"/>
            <w:vAlign w:val="center"/>
          </w:tcPr>
          <w:p w:rsidR="009A6335" w:rsidRPr="00676BDC" w:rsidRDefault="009A6335" w:rsidP="00676BDC">
            <w:pPr>
              <w:spacing w:line="320" w:lineRule="exact"/>
              <w:jc w:val="center"/>
              <w:rPr>
                <w:rFonts w:ascii="黑体" w:eastAsia="黑体" w:hAnsi="黑体" w:cs="Times New Roman"/>
                <w:sz w:val="28"/>
                <w:szCs w:val="28"/>
              </w:rPr>
            </w:pPr>
            <w:r w:rsidRPr="00676BDC">
              <w:rPr>
                <w:rFonts w:ascii="黑体" w:eastAsia="黑体" w:hAnsi="黑体" w:cs="黑体"/>
                <w:sz w:val="28"/>
                <w:szCs w:val="28"/>
              </w:rPr>
              <w:t xml:space="preserve"> </w:t>
            </w:r>
            <w:r w:rsidRPr="00676BDC">
              <w:rPr>
                <w:rFonts w:ascii="黑体" w:eastAsia="黑体" w:hAnsi="黑体" w:cs="黑体" w:hint="eastAsia"/>
                <w:sz w:val="28"/>
                <w:szCs w:val="28"/>
              </w:rPr>
              <w:t>意见来源</w:t>
            </w:r>
          </w:p>
        </w:tc>
        <w:tc>
          <w:tcPr>
            <w:tcW w:w="5590" w:type="dxa"/>
            <w:vAlign w:val="center"/>
          </w:tcPr>
          <w:p w:rsidR="009A6335" w:rsidRPr="00676BDC" w:rsidRDefault="009A6335" w:rsidP="00676BDC">
            <w:pPr>
              <w:spacing w:line="320" w:lineRule="exact"/>
              <w:jc w:val="center"/>
              <w:rPr>
                <w:rFonts w:ascii="黑体" w:eastAsia="黑体" w:hAnsi="黑体" w:cs="Times New Roman"/>
                <w:sz w:val="28"/>
                <w:szCs w:val="28"/>
              </w:rPr>
            </w:pPr>
            <w:r w:rsidRPr="00676BDC">
              <w:rPr>
                <w:rFonts w:ascii="黑体" w:eastAsia="黑体" w:hAnsi="黑体" w:cs="黑体"/>
                <w:sz w:val="28"/>
                <w:szCs w:val="28"/>
              </w:rPr>
              <w:t xml:space="preserve"> </w:t>
            </w:r>
            <w:r w:rsidRPr="00676BDC">
              <w:rPr>
                <w:rFonts w:ascii="黑体" w:eastAsia="黑体" w:hAnsi="黑体" w:cs="黑体" w:hint="eastAsia"/>
                <w:sz w:val="28"/>
                <w:szCs w:val="28"/>
              </w:rPr>
              <w:t>主要意见</w:t>
            </w:r>
          </w:p>
        </w:tc>
        <w:tc>
          <w:tcPr>
            <w:tcW w:w="5936" w:type="dxa"/>
            <w:vAlign w:val="center"/>
          </w:tcPr>
          <w:p w:rsidR="009A6335" w:rsidRPr="00676BDC" w:rsidRDefault="009A6335" w:rsidP="00676BDC">
            <w:pPr>
              <w:spacing w:line="320" w:lineRule="exact"/>
              <w:jc w:val="center"/>
              <w:rPr>
                <w:rFonts w:ascii="黑体" w:eastAsia="黑体" w:hAnsi="黑体" w:cs="Times New Roman"/>
                <w:sz w:val="28"/>
                <w:szCs w:val="28"/>
              </w:rPr>
            </w:pPr>
            <w:r w:rsidRPr="00676BDC">
              <w:rPr>
                <w:rFonts w:ascii="黑体" w:eastAsia="黑体" w:hAnsi="黑体" w:cs="黑体"/>
                <w:sz w:val="28"/>
                <w:szCs w:val="28"/>
              </w:rPr>
              <w:t xml:space="preserve"> </w:t>
            </w:r>
            <w:r w:rsidRPr="00676BDC">
              <w:rPr>
                <w:rFonts w:ascii="黑体" w:eastAsia="黑体" w:hAnsi="黑体" w:cs="黑体" w:hint="eastAsia"/>
                <w:sz w:val="28"/>
                <w:szCs w:val="28"/>
              </w:rPr>
              <w:t>采纳情况及说明</w:t>
            </w:r>
          </w:p>
        </w:tc>
      </w:tr>
      <w:tr w:rsidR="009A6335">
        <w:trPr>
          <w:trHeight w:val="1438"/>
        </w:trPr>
        <w:tc>
          <w:tcPr>
            <w:tcW w:w="865" w:type="dxa"/>
            <w:vAlign w:val="center"/>
          </w:tcPr>
          <w:p w:rsidR="009A6335" w:rsidRPr="00676BDC" w:rsidRDefault="009A6335" w:rsidP="00676BDC">
            <w:pPr>
              <w:spacing w:line="320" w:lineRule="exact"/>
              <w:jc w:val="center"/>
              <w:rPr>
                <w:rFonts w:ascii="仿宋" w:eastAsia="仿宋" w:hAnsi="仿宋" w:cs="仿宋"/>
                <w:sz w:val="28"/>
                <w:szCs w:val="28"/>
              </w:rPr>
            </w:pPr>
            <w:r w:rsidRPr="00676BDC">
              <w:rPr>
                <w:rFonts w:ascii="仿宋" w:eastAsia="仿宋" w:hAnsi="仿宋" w:cs="仿宋"/>
                <w:sz w:val="28"/>
                <w:szCs w:val="28"/>
              </w:rPr>
              <w:t>1</w:t>
            </w:r>
          </w:p>
        </w:tc>
        <w:tc>
          <w:tcPr>
            <w:tcW w:w="1936" w:type="dxa"/>
            <w:vAlign w:val="center"/>
          </w:tcPr>
          <w:p w:rsidR="009A6335" w:rsidRPr="00676BDC" w:rsidRDefault="009A6335" w:rsidP="00676BDC">
            <w:pPr>
              <w:spacing w:line="320" w:lineRule="exact"/>
              <w:jc w:val="center"/>
              <w:rPr>
                <w:rFonts w:ascii="仿宋" w:eastAsia="仿宋" w:hAnsi="仿宋" w:cs="Times New Roman"/>
                <w:sz w:val="28"/>
                <w:szCs w:val="28"/>
              </w:rPr>
            </w:pPr>
            <w:r w:rsidRPr="00676BDC">
              <w:rPr>
                <w:rFonts w:ascii="仿宋" w:eastAsia="仿宋" w:hAnsi="仿宋" w:cs="仿宋" w:hint="eastAsia"/>
                <w:sz w:val="28"/>
                <w:szCs w:val="28"/>
              </w:rPr>
              <w:t>电子邮件</w:t>
            </w:r>
          </w:p>
        </w:tc>
        <w:tc>
          <w:tcPr>
            <w:tcW w:w="5590" w:type="dxa"/>
            <w:vAlign w:val="center"/>
          </w:tcPr>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hint="eastAsia"/>
                <w:sz w:val="28"/>
                <w:szCs w:val="28"/>
              </w:rPr>
              <w:t>第一，关于初次登记满十年的电动自行车，后续处理方式是强制报废还是可以继续申请新牌照，这一点应该清晰表明。</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hint="eastAsia"/>
                <w:sz w:val="28"/>
                <w:szCs w:val="28"/>
              </w:rPr>
              <w:t>第二，第四十一条的车辆属性，有上牌的车辆是以牌照区分还是需要再次鉴定？</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hint="eastAsia"/>
                <w:sz w:val="28"/>
                <w:szCs w:val="28"/>
              </w:rPr>
              <w:t>第三，非汕头牌照电动自行车在汕头区域行驶的问题。</w:t>
            </w:r>
          </w:p>
        </w:tc>
        <w:tc>
          <w:tcPr>
            <w:tcW w:w="5936" w:type="dxa"/>
            <w:vAlign w:val="center"/>
          </w:tcPr>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hint="eastAsia"/>
                <w:sz w:val="28"/>
                <w:szCs w:val="28"/>
              </w:rPr>
              <w:t>该意见没有提出对《汕头经济特区电动自行车管理条例》（公开征求意见稿）的修改建议。</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1.</w:t>
            </w:r>
            <w:r w:rsidRPr="00676BDC">
              <w:rPr>
                <w:rFonts w:ascii="仿宋" w:eastAsia="仿宋" w:hAnsi="仿宋" w:cs="仿宋" w:hint="eastAsia"/>
                <w:sz w:val="28"/>
                <w:szCs w:val="28"/>
              </w:rPr>
              <w:t>根据《汕头经济特区电动自行车管理条例（征求意见稿）》第十一条、第十二条规定车辆初次登记满十年的，应当申请注销登记，不得上道路行驶。</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2.</w:t>
            </w:r>
            <w:r w:rsidRPr="00676BDC">
              <w:rPr>
                <w:rFonts w:ascii="仿宋" w:eastAsia="仿宋" w:hAnsi="仿宋" w:cs="仿宋" w:hint="eastAsia"/>
                <w:sz w:val="28"/>
                <w:szCs w:val="28"/>
              </w:rPr>
              <w:t>根据《汕头经济特区电动自行车管理条例（征求意见稿）》第四十一条规定，不符合电动自行车强制性国家标准的电动两轮车上道路行驶，特别涉及车辆非法改装，车辆依法鉴定为机动车的，按照机动车相关法律法规进行处理。</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3.</w:t>
            </w:r>
            <w:r w:rsidRPr="00676BDC">
              <w:rPr>
                <w:rFonts w:ascii="仿宋" w:eastAsia="仿宋" w:hAnsi="仿宋" w:cs="仿宋" w:hint="eastAsia"/>
                <w:sz w:val="28"/>
                <w:szCs w:val="28"/>
              </w:rPr>
              <w:t>根据《汕头经济特区电动自行车管理条例（征求意见稿）》第十二条第一项规定，未经本市公安机关交通管理部门登记注册不得上道路行驶。</w:t>
            </w:r>
          </w:p>
        </w:tc>
      </w:tr>
      <w:tr w:rsidR="009A6335">
        <w:trPr>
          <w:trHeight w:val="1438"/>
        </w:trPr>
        <w:tc>
          <w:tcPr>
            <w:tcW w:w="865" w:type="dxa"/>
            <w:vAlign w:val="center"/>
          </w:tcPr>
          <w:p w:rsidR="009A6335" w:rsidRPr="00676BDC" w:rsidRDefault="009A6335" w:rsidP="00676BDC">
            <w:pPr>
              <w:spacing w:line="320" w:lineRule="exact"/>
              <w:jc w:val="center"/>
              <w:rPr>
                <w:rFonts w:ascii="仿宋" w:eastAsia="仿宋" w:hAnsi="仿宋" w:cs="仿宋"/>
                <w:sz w:val="28"/>
                <w:szCs w:val="28"/>
              </w:rPr>
            </w:pPr>
            <w:r w:rsidRPr="00676BDC">
              <w:rPr>
                <w:rFonts w:ascii="仿宋" w:eastAsia="仿宋" w:hAnsi="仿宋" w:cs="仿宋"/>
                <w:sz w:val="28"/>
                <w:szCs w:val="28"/>
              </w:rPr>
              <w:t>2</w:t>
            </w:r>
          </w:p>
        </w:tc>
        <w:tc>
          <w:tcPr>
            <w:tcW w:w="1936" w:type="dxa"/>
            <w:vAlign w:val="center"/>
          </w:tcPr>
          <w:p w:rsidR="009A6335" w:rsidRPr="00676BDC" w:rsidRDefault="009A6335" w:rsidP="00676BDC">
            <w:pPr>
              <w:spacing w:line="320" w:lineRule="exact"/>
              <w:jc w:val="center"/>
              <w:rPr>
                <w:rFonts w:ascii="仿宋" w:eastAsia="仿宋" w:hAnsi="仿宋" w:cs="Times New Roman"/>
                <w:sz w:val="28"/>
                <w:szCs w:val="28"/>
              </w:rPr>
            </w:pPr>
            <w:r w:rsidRPr="00676BDC">
              <w:rPr>
                <w:rFonts w:ascii="仿宋" w:eastAsia="仿宋" w:hAnsi="仿宋" w:cs="仿宋" w:hint="eastAsia"/>
                <w:sz w:val="28"/>
                <w:szCs w:val="28"/>
              </w:rPr>
              <w:t>电子邮件</w:t>
            </w:r>
          </w:p>
        </w:tc>
        <w:tc>
          <w:tcPr>
            <w:tcW w:w="5590" w:type="dxa"/>
            <w:vAlign w:val="center"/>
          </w:tcPr>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1.</w:t>
            </w:r>
            <w:r w:rsidRPr="00676BDC">
              <w:rPr>
                <w:rFonts w:ascii="仿宋" w:eastAsia="仿宋" w:hAnsi="仿宋" w:cs="仿宋" w:hint="eastAsia"/>
                <w:sz w:val="28"/>
                <w:szCs w:val="28"/>
              </w:rPr>
              <w:t>第十三条修改意见：目前在国家层面的《中华人民共和国道路交通安全法》以及《广东省道路交通安全条例》没有法规要求电动自行车强制佩戴头盔，并且在道路安全法中明确将电动自行车归为非机动车大类进行管理，非机动车不适用佩戴头盔管理。</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2.</w:t>
            </w:r>
            <w:r w:rsidRPr="00676BDC">
              <w:rPr>
                <w:rFonts w:ascii="仿宋" w:eastAsia="仿宋" w:hAnsi="仿宋" w:cs="仿宋" w:hint="eastAsia"/>
                <w:sz w:val="28"/>
                <w:szCs w:val="28"/>
              </w:rPr>
              <w:t>第二十四条修改意见：要求运营企业对驾驶员设定惩戒措施，以及目前交通部门联合运营企业对驾驶员联合实施惩戒措施缺乏法律上支持，也违反《</w:t>
            </w:r>
            <w:r>
              <w:rPr>
                <w:rFonts w:ascii="仿宋" w:eastAsia="仿宋" w:hAnsi="仿宋" w:cs="仿宋" w:hint="eastAsia"/>
                <w:sz w:val="28"/>
                <w:szCs w:val="28"/>
              </w:rPr>
              <w:t>中华人民共和国</w:t>
            </w:r>
            <w:r w:rsidRPr="00676BDC">
              <w:rPr>
                <w:rFonts w:ascii="仿宋" w:eastAsia="仿宋" w:hAnsi="仿宋" w:cs="仿宋" w:hint="eastAsia"/>
                <w:sz w:val="28"/>
                <w:szCs w:val="28"/>
              </w:rPr>
              <w:t>民法典》和《消费者权益法》规定。</w:t>
            </w:r>
          </w:p>
        </w:tc>
        <w:tc>
          <w:tcPr>
            <w:tcW w:w="5936" w:type="dxa"/>
            <w:vAlign w:val="center"/>
          </w:tcPr>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1.</w:t>
            </w:r>
            <w:r w:rsidRPr="00676BDC">
              <w:rPr>
                <w:rFonts w:ascii="仿宋" w:eastAsia="仿宋" w:hAnsi="仿宋" w:cs="仿宋" w:hint="eastAsia"/>
                <w:sz w:val="28"/>
                <w:szCs w:val="28"/>
              </w:rPr>
              <w:t>不予采纳。根据《汕头经济特区道路交通安全条例》第五十八条第一项规定，驾驶电动自行车应戴安全头盔。</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2.</w:t>
            </w:r>
            <w:r w:rsidRPr="00676BDC">
              <w:rPr>
                <w:rFonts w:ascii="仿宋" w:eastAsia="仿宋" w:hAnsi="仿宋" w:cs="仿宋" w:hint="eastAsia"/>
                <w:sz w:val="28"/>
                <w:szCs w:val="28"/>
              </w:rPr>
              <w:t>不予采纳。该项条例借鉴学习《广州市电动自行车管理规定》第四十五条、《上海市非机动车安全管理条例》第三十二条等规定，明确电动自行车租赁服务企业对驾驶人的管理责任，对违规驾驶不良行为用</w:t>
            </w:r>
            <w:bookmarkStart w:id="0" w:name="_GoBack"/>
            <w:bookmarkEnd w:id="0"/>
            <w:r w:rsidRPr="00676BDC">
              <w:rPr>
                <w:rFonts w:ascii="仿宋" w:eastAsia="仿宋" w:hAnsi="仿宋" w:cs="仿宋" w:hint="eastAsia"/>
                <w:sz w:val="28"/>
                <w:szCs w:val="28"/>
              </w:rPr>
              <w:t>户，企业要采取惩戒措施。</w:t>
            </w:r>
          </w:p>
        </w:tc>
      </w:tr>
      <w:tr w:rsidR="009A6335">
        <w:trPr>
          <w:trHeight w:val="1438"/>
        </w:trPr>
        <w:tc>
          <w:tcPr>
            <w:tcW w:w="865" w:type="dxa"/>
            <w:vAlign w:val="center"/>
          </w:tcPr>
          <w:p w:rsidR="009A6335" w:rsidRPr="00676BDC" w:rsidRDefault="009A6335" w:rsidP="00676BDC">
            <w:pPr>
              <w:spacing w:line="320" w:lineRule="exact"/>
              <w:jc w:val="center"/>
              <w:rPr>
                <w:rFonts w:ascii="仿宋" w:eastAsia="仿宋" w:hAnsi="仿宋" w:cs="仿宋"/>
                <w:sz w:val="28"/>
                <w:szCs w:val="28"/>
              </w:rPr>
            </w:pPr>
            <w:r w:rsidRPr="00676BDC">
              <w:rPr>
                <w:rFonts w:ascii="仿宋" w:eastAsia="仿宋" w:hAnsi="仿宋" w:cs="仿宋"/>
                <w:sz w:val="28"/>
                <w:szCs w:val="28"/>
              </w:rPr>
              <w:t>3</w:t>
            </w:r>
          </w:p>
        </w:tc>
        <w:tc>
          <w:tcPr>
            <w:tcW w:w="1936" w:type="dxa"/>
            <w:vAlign w:val="center"/>
          </w:tcPr>
          <w:p w:rsidR="009A6335" w:rsidRPr="00676BDC" w:rsidRDefault="009A6335" w:rsidP="00676BDC">
            <w:pPr>
              <w:spacing w:line="320" w:lineRule="exact"/>
              <w:jc w:val="center"/>
              <w:rPr>
                <w:rFonts w:ascii="仿宋" w:eastAsia="仿宋" w:hAnsi="仿宋" w:cs="Times New Roman"/>
                <w:sz w:val="28"/>
                <w:szCs w:val="28"/>
              </w:rPr>
            </w:pPr>
            <w:r w:rsidRPr="00676BDC">
              <w:rPr>
                <w:rFonts w:ascii="仿宋" w:eastAsia="仿宋" w:hAnsi="仿宋" w:cs="仿宋" w:hint="eastAsia"/>
                <w:sz w:val="28"/>
                <w:szCs w:val="28"/>
              </w:rPr>
              <w:t>电子邮件</w:t>
            </w:r>
          </w:p>
        </w:tc>
        <w:tc>
          <w:tcPr>
            <w:tcW w:w="5590" w:type="dxa"/>
            <w:vAlign w:val="center"/>
          </w:tcPr>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hint="eastAsia"/>
                <w:sz w:val="28"/>
                <w:szCs w:val="28"/>
              </w:rPr>
              <w:t>本条例第十五条第</w:t>
            </w:r>
            <w:r w:rsidRPr="00676BDC">
              <w:rPr>
                <w:rFonts w:ascii="仿宋" w:eastAsia="仿宋" w:hAnsi="仿宋" w:cs="仿宋"/>
                <w:sz w:val="28"/>
                <w:szCs w:val="28"/>
              </w:rPr>
              <w:t>10</w:t>
            </w:r>
            <w:r w:rsidRPr="00676BDC">
              <w:rPr>
                <w:rFonts w:ascii="仿宋" w:eastAsia="仿宋" w:hAnsi="仿宋" w:cs="仿宋" w:hint="eastAsia"/>
                <w:sz w:val="28"/>
                <w:szCs w:val="28"/>
              </w:rPr>
              <w:t>款规定禁止电动车驶入快速路或高速公路应将高速公路删除。</w:t>
            </w:r>
          </w:p>
        </w:tc>
        <w:tc>
          <w:tcPr>
            <w:tcW w:w="5936" w:type="dxa"/>
            <w:vAlign w:val="center"/>
          </w:tcPr>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hint="eastAsia"/>
                <w:sz w:val="28"/>
                <w:szCs w:val="28"/>
              </w:rPr>
              <w:t>不予采纳。根据《中华人民共和国道路交通安全法》第六十七条、《广东省道路交通安全条例》第三十六条第二款规定，非机动车不得驶入城市快速路、高速公路。</w:t>
            </w:r>
          </w:p>
        </w:tc>
      </w:tr>
      <w:tr w:rsidR="009A6335">
        <w:trPr>
          <w:trHeight w:val="1438"/>
        </w:trPr>
        <w:tc>
          <w:tcPr>
            <w:tcW w:w="865" w:type="dxa"/>
            <w:vAlign w:val="center"/>
          </w:tcPr>
          <w:p w:rsidR="009A6335" w:rsidRPr="00676BDC" w:rsidRDefault="009A6335" w:rsidP="00676BDC">
            <w:pPr>
              <w:spacing w:line="320" w:lineRule="exact"/>
              <w:jc w:val="center"/>
              <w:rPr>
                <w:rFonts w:ascii="仿宋" w:eastAsia="仿宋" w:hAnsi="仿宋" w:cs="仿宋"/>
                <w:sz w:val="28"/>
                <w:szCs w:val="28"/>
              </w:rPr>
            </w:pPr>
            <w:r w:rsidRPr="00676BDC">
              <w:rPr>
                <w:rFonts w:ascii="仿宋" w:eastAsia="仿宋" w:hAnsi="仿宋" w:cs="仿宋"/>
                <w:sz w:val="28"/>
                <w:szCs w:val="28"/>
              </w:rPr>
              <w:t>4</w:t>
            </w:r>
          </w:p>
        </w:tc>
        <w:tc>
          <w:tcPr>
            <w:tcW w:w="1936" w:type="dxa"/>
            <w:vAlign w:val="center"/>
          </w:tcPr>
          <w:p w:rsidR="009A6335" w:rsidRPr="00676BDC" w:rsidRDefault="009A6335" w:rsidP="00676BDC">
            <w:pPr>
              <w:spacing w:line="320" w:lineRule="exact"/>
              <w:jc w:val="center"/>
              <w:rPr>
                <w:rFonts w:ascii="仿宋" w:eastAsia="仿宋" w:hAnsi="仿宋" w:cs="Times New Roman"/>
                <w:sz w:val="28"/>
                <w:szCs w:val="28"/>
              </w:rPr>
            </w:pPr>
            <w:r w:rsidRPr="00676BDC">
              <w:rPr>
                <w:rFonts w:ascii="仿宋" w:eastAsia="仿宋" w:hAnsi="仿宋" w:cs="仿宋" w:hint="eastAsia"/>
                <w:sz w:val="28"/>
                <w:szCs w:val="28"/>
              </w:rPr>
              <w:t>电子邮件</w:t>
            </w:r>
          </w:p>
        </w:tc>
        <w:tc>
          <w:tcPr>
            <w:tcW w:w="5590" w:type="dxa"/>
            <w:vAlign w:val="center"/>
          </w:tcPr>
          <w:p w:rsidR="009A6335" w:rsidRPr="00676BDC" w:rsidRDefault="009A6335" w:rsidP="00676BDC">
            <w:pPr>
              <w:spacing w:line="320" w:lineRule="exact"/>
              <w:jc w:val="left"/>
              <w:rPr>
                <w:rFonts w:ascii="仿宋" w:eastAsia="仿宋" w:hAnsi="仿宋" w:cs="仿宋"/>
                <w:sz w:val="28"/>
                <w:szCs w:val="28"/>
              </w:rPr>
            </w:pPr>
            <w:r w:rsidRPr="00676BDC">
              <w:rPr>
                <w:rFonts w:ascii="仿宋" w:eastAsia="仿宋" w:hAnsi="仿宋" w:cs="仿宋"/>
                <w:sz w:val="28"/>
                <w:szCs w:val="28"/>
              </w:rPr>
              <w:t>1</w:t>
            </w:r>
            <w:r w:rsidRPr="00676BDC">
              <w:rPr>
                <w:rFonts w:ascii="仿宋" w:eastAsia="仿宋" w:hAnsi="仿宋" w:cs="仿宋" w:hint="eastAsia"/>
                <w:sz w:val="28"/>
                <w:szCs w:val="28"/>
              </w:rPr>
              <w:t>、第二十四条【投放管理】中第二款增加“租赁企业应当按照城市管理和综合执法部门的要求，将投放车辆、车辆实时定位、订单等涉及公共利益管理需要的信息接入租赁电动自行车监管平台，且保证数据信息的真实性、准确性、及时性以及完整性”。</w:t>
            </w:r>
            <w:r w:rsidRPr="00676BDC">
              <w:rPr>
                <w:rFonts w:ascii="仿宋" w:eastAsia="仿宋" w:hAnsi="仿宋" w:cs="仿宋"/>
                <w:sz w:val="28"/>
                <w:szCs w:val="28"/>
              </w:rPr>
              <w:t xml:space="preserve">   </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2</w:t>
            </w:r>
            <w:r w:rsidRPr="00676BDC">
              <w:rPr>
                <w:rFonts w:ascii="仿宋" w:eastAsia="仿宋" w:hAnsi="仿宋" w:cs="仿宋" w:hint="eastAsia"/>
                <w:sz w:val="28"/>
                <w:szCs w:val="28"/>
              </w:rPr>
              <w:t>、建议第四十条【经营责任】，对违反本条例第二十四条第一款的规定的违法行为，明确处罚金额。</w:t>
            </w:r>
          </w:p>
        </w:tc>
        <w:tc>
          <w:tcPr>
            <w:tcW w:w="5936" w:type="dxa"/>
            <w:vAlign w:val="center"/>
          </w:tcPr>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1.</w:t>
            </w:r>
            <w:r w:rsidRPr="00676BDC">
              <w:rPr>
                <w:rFonts w:ascii="仿宋" w:eastAsia="仿宋" w:hAnsi="仿宋" w:cs="仿宋" w:hint="eastAsia"/>
                <w:sz w:val="28"/>
                <w:szCs w:val="28"/>
              </w:rPr>
              <w:t>采纳。</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2.</w:t>
            </w:r>
            <w:r w:rsidRPr="00676BDC">
              <w:rPr>
                <w:rFonts w:ascii="仿宋" w:eastAsia="仿宋" w:hAnsi="仿宋" w:cs="仿宋" w:hint="eastAsia"/>
                <w:sz w:val="28"/>
                <w:szCs w:val="28"/>
              </w:rPr>
              <w:t>不予采纳。《汕头市城市市容和环境卫生管理条例》《汕头市中心城区北岸互联网租赁自行车停放管理办法》等已有规定。</w:t>
            </w:r>
          </w:p>
        </w:tc>
      </w:tr>
      <w:tr w:rsidR="009A6335">
        <w:trPr>
          <w:trHeight w:val="1438"/>
        </w:trPr>
        <w:tc>
          <w:tcPr>
            <w:tcW w:w="865" w:type="dxa"/>
            <w:vAlign w:val="center"/>
          </w:tcPr>
          <w:p w:rsidR="009A6335" w:rsidRPr="00676BDC" w:rsidRDefault="009A6335" w:rsidP="00676BDC">
            <w:pPr>
              <w:spacing w:line="320" w:lineRule="exact"/>
              <w:jc w:val="center"/>
              <w:rPr>
                <w:rFonts w:ascii="仿宋" w:eastAsia="仿宋" w:hAnsi="仿宋" w:cs="仿宋"/>
                <w:sz w:val="28"/>
                <w:szCs w:val="28"/>
              </w:rPr>
            </w:pPr>
            <w:r w:rsidRPr="00676BDC">
              <w:rPr>
                <w:rFonts w:ascii="仿宋" w:eastAsia="仿宋" w:hAnsi="仿宋" w:cs="仿宋"/>
                <w:sz w:val="28"/>
                <w:szCs w:val="28"/>
              </w:rPr>
              <w:t>5</w:t>
            </w:r>
          </w:p>
        </w:tc>
        <w:tc>
          <w:tcPr>
            <w:tcW w:w="1936" w:type="dxa"/>
            <w:vAlign w:val="center"/>
          </w:tcPr>
          <w:p w:rsidR="009A6335" w:rsidRPr="00676BDC" w:rsidRDefault="009A6335" w:rsidP="00676BDC">
            <w:pPr>
              <w:spacing w:line="320" w:lineRule="exact"/>
              <w:jc w:val="center"/>
              <w:rPr>
                <w:rFonts w:ascii="仿宋" w:eastAsia="仿宋" w:hAnsi="仿宋" w:cs="Times New Roman"/>
                <w:sz w:val="28"/>
                <w:szCs w:val="28"/>
              </w:rPr>
            </w:pPr>
            <w:r w:rsidRPr="00676BDC">
              <w:rPr>
                <w:rFonts w:ascii="仿宋" w:eastAsia="仿宋" w:hAnsi="仿宋" w:cs="仿宋" w:hint="eastAsia"/>
                <w:sz w:val="28"/>
                <w:szCs w:val="28"/>
              </w:rPr>
              <w:t>电子邮件</w:t>
            </w:r>
          </w:p>
        </w:tc>
        <w:tc>
          <w:tcPr>
            <w:tcW w:w="5590" w:type="dxa"/>
            <w:vAlign w:val="center"/>
          </w:tcPr>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hint="eastAsia"/>
                <w:sz w:val="28"/>
                <w:szCs w:val="28"/>
              </w:rPr>
              <w:t>老旧电动车上牌问题。</w:t>
            </w:r>
          </w:p>
        </w:tc>
        <w:tc>
          <w:tcPr>
            <w:tcW w:w="5936" w:type="dxa"/>
            <w:vAlign w:val="center"/>
          </w:tcPr>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hint="eastAsia"/>
                <w:sz w:val="28"/>
                <w:szCs w:val="28"/>
              </w:rPr>
              <w:t>该意见没有提出对《汕头经济特区电动自行车管理条例》（公开征求意见稿）的修改建议。</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hint="eastAsia"/>
                <w:sz w:val="28"/>
                <w:szCs w:val="28"/>
              </w:rPr>
              <w:t>对其提出问题，在</w:t>
            </w:r>
            <w:r w:rsidRPr="00676BDC">
              <w:rPr>
                <w:rFonts w:ascii="仿宋" w:eastAsia="仿宋" w:hAnsi="仿宋" w:cs="仿宋"/>
                <w:sz w:val="28"/>
                <w:szCs w:val="28"/>
              </w:rPr>
              <w:t>2023</w:t>
            </w:r>
            <w:r w:rsidRPr="00676BDC">
              <w:rPr>
                <w:rFonts w:ascii="仿宋" w:eastAsia="仿宋" w:hAnsi="仿宋" w:cs="仿宋" w:hint="eastAsia"/>
                <w:sz w:val="28"/>
                <w:szCs w:val="28"/>
              </w:rPr>
              <w:t>年</w:t>
            </w:r>
            <w:r w:rsidRPr="00676BDC">
              <w:rPr>
                <w:rFonts w:ascii="仿宋" w:eastAsia="仿宋" w:hAnsi="仿宋" w:cs="仿宋"/>
                <w:sz w:val="28"/>
                <w:szCs w:val="28"/>
              </w:rPr>
              <w:t>10</w:t>
            </w:r>
            <w:r w:rsidRPr="00676BDC">
              <w:rPr>
                <w:rFonts w:ascii="仿宋" w:eastAsia="仿宋" w:hAnsi="仿宋" w:cs="仿宋" w:hint="eastAsia"/>
                <w:sz w:val="28"/>
                <w:szCs w:val="28"/>
              </w:rPr>
              <w:t>月</w:t>
            </w:r>
            <w:r w:rsidRPr="00676BDC">
              <w:rPr>
                <w:rFonts w:ascii="仿宋" w:eastAsia="仿宋" w:hAnsi="仿宋" w:cs="仿宋"/>
                <w:sz w:val="28"/>
                <w:szCs w:val="28"/>
              </w:rPr>
              <w:t>31</w:t>
            </w:r>
            <w:r w:rsidRPr="00676BDC">
              <w:rPr>
                <w:rFonts w:ascii="仿宋" w:eastAsia="仿宋" w:hAnsi="仿宋" w:cs="仿宋" w:hint="eastAsia"/>
                <w:sz w:val="28"/>
                <w:szCs w:val="28"/>
              </w:rPr>
              <w:t>日汕头市公安局发布《关于进一步加强电动自行车管理的通告》，已明确电动自行车、在用不符合电动自行车标准的居民个人自用电动自行车等车辆登记措施，并设置了过渡期政策。</w:t>
            </w:r>
          </w:p>
        </w:tc>
      </w:tr>
      <w:tr w:rsidR="009A6335">
        <w:trPr>
          <w:trHeight w:val="1438"/>
        </w:trPr>
        <w:tc>
          <w:tcPr>
            <w:tcW w:w="865" w:type="dxa"/>
            <w:vAlign w:val="center"/>
          </w:tcPr>
          <w:p w:rsidR="009A6335" w:rsidRPr="00676BDC" w:rsidRDefault="009A6335" w:rsidP="00676BDC">
            <w:pPr>
              <w:spacing w:line="320" w:lineRule="exact"/>
              <w:jc w:val="center"/>
              <w:rPr>
                <w:rFonts w:ascii="仿宋" w:eastAsia="仿宋" w:hAnsi="仿宋" w:cs="仿宋"/>
                <w:sz w:val="28"/>
                <w:szCs w:val="28"/>
              </w:rPr>
            </w:pPr>
            <w:r w:rsidRPr="00676BDC">
              <w:rPr>
                <w:rFonts w:ascii="仿宋" w:eastAsia="仿宋" w:hAnsi="仿宋" w:cs="仿宋"/>
                <w:sz w:val="28"/>
                <w:szCs w:val="28"/>
              </w:rPr>
              <w:t>6</w:t>
            </w:r>
          </w:p>
        </w:tc>
        <w:tc>
          <w:tcPr>
            <w:tcW w:w="1936" w:type="dxa"/>
            <w:vAlign w:val="center"/>
          </w:tcPr>
          <w:p w:rsidR="009A6335" w:rsidRPr="00676BDC" w:rsidRDefault="009A6335" w:rsidP="00676BDC">
            <w:pPr>
              <w:spacing w:line="320" w:lineRule="exact"/>
              <w:jc w:val="center"/>
              <w:rPr>
                <w:rFonts w:ascii="仿宋" w:eastAsia="仿宋" w:hAnsi="仿宋" w:cs="Times New Roman"/>
                <w:sz w:val="28"/>
                <w:szCs w:val="28"/>
              </w:rPr>
            </w:pPr>
            <w:r w:rsidRPr="00676BDC">
              <w:rPr>
                <w:rFonts w:ascii="仿宋" w:eastAsia="仿宋" w:hAnsi="仿宋" w:cs="仿宋" w:hint="eastAsia"/>
                <w:sz w:val="28"/>
                <w:szCs w:val="28"/>
              </w:rPr>
              <w:t>电子邮件</w:t>
            </w:r>
          </w:p>
        </w:tc>
        <w:tc>
          <w:tcPr>
            <w:tcW w:w="5590" w:type="dxa"/>
            <w:vAlign w:val="center"/>
          </w:tcPr>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1.</w:t>
            </w:r>
            <w:r w:rsidRPr="00676BDC">
              <w:rPr>
                <w:rFonts w:ascii="仿宋" w:eastAsia="仿宋" w:hAnsi="仿宋" w:cs="仿宋" w:hint="eastAsia"/>
                <w:sz w:val="28"/>
                <w:szCs w:val="28"/>
              </w:rPr>
              <w:t>关于《条例》第十四条第（五）点“道路或路口设置非机动车道的，应当在非机动车道内行驶”，以及第（六）点“在没有非机动车道的道路上，靠车行道的右侧行驶；通行宽度从道路（不含路肩）右侧边缘线算起不得超过一点五米”。</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hint="eastAsia"/>
                <w:sz w:val="28"/>
                <w:szCs w:val="28"/>
              </w:rPr>
              <w:t>建议参考《广州市电动自行车管理规定》第二十五条第（三）点“在非机动车道内行驶；在没有非机动车道的道路上，靠车行道的右侧行驶；确须在未设置非机动车道的路肩通过的下车推行”，以及第（五）点“因非机动车道被占用而无法通行的，可以借用相邻的机动车道行驶，并在驶过被占用路段后，驶回非机动车道”修改，理由：一是道路两侧靠近路肩车道经常被机动车或流动摊位占用，难以行驶；二是驾驶员在驾驶过程中难以判定车辆与道路（不含路肩）右侧边缘线的距离是否超过</w:t>
            </w:r>
            <w:r w:rsidRPr="00676BDC">
              <w:rPr>
                <w:rFonts w:ascii="仿宋" w:eastAsia="仿宋" w:hAnsi="仿宋" w:cs="仿宋"/>
                <w:sz w:val="28"/>
                <w:szCs w:val="28"/>
              </w:rPr>
              <w:t>1.5</w:t>
            </w:r>
            <w:r w:rsidRPr="00676BDC">
              <w:rPr>
                <w:rFonts w:ascii="仿宋" w:eastAsia="仿宋" w:hAnsi="仿宋" w:cs="仿宋" w:hint="eastAsia"/>
                <w:sz w:val="28"/>
                <w:szCs w:val="28"/>
              </w:rPr>
              <w:t>米，也不利于公安交警部门判断违法行为。</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2.</w:t>
            </w:r>
            <w:r w:rsidRPr="00676BDC">
              <w:rPr>
                <w:rFonts w:ascii="仿宋" w:eastAsia="仿宋" w:hAnsi="仿宋" w:cs="仿宋" w:hint="eastAsia"/>
                <w:sz w:val="28"/>
                <w:szCs w:val="28"/>
              </w:rPr>
              <w:t>关于《条例》第十五条“驾驶电动自行车上道路行驶，不得实施下列行为：</w:t>
            </w:r>
            <w:r w:rsidRPr="00676BDC">
              <w:rPr>
                <w:rFonts w:ascii="仿宋" w:eastAsia="仿宋" w:hAnsi="仿宋" w:cs="仿宋"/>
                <w:sz w:val="28"/>
                <w:szCs w:val="28"/>
              </w:rPr>
              <w:t>......</w:t>
            </w:r>
            <w:r w:rsidRPr="00676BDC">
              <w:rPr>
                <w:rFonts w:ascii="仿宋" w:eastAsia="仿宋" w:hAnsi="仿宋" w:cs="仿宋" w:hint="eastAsia"/>
                <w:sz w:val="28"/>
                <w:szCs w:val="28"/>
              </w:rPr>
              <w:t>（五）酒后驾驶”。</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hint="eastAsia"/>
                <w:sz w:val="28"/>
                <w:szCs w:val="28"/>
              </w:rPr>
              <w:t>建议参考《广州市电动自行车管理规定》第二十六条，将《条例》第十五条第（五）点修改为“醉酒驾驶”，理由：根据《电动自行车安全技术规范》，电动自行车的车速最高不能超过</w:t>
            </w:r>
            <w:r w:rsidRPr="00676BDC">
              <w:rPr>
                <w:rFonts w:ascii="仿宋" w:eastAsia="仿宋" w:hAnsi="仿宋" w:cs="仿宋"/>
                <w:sz w:val="28"/>
                <w:szCs w:val="28"/>
              </w:rPr>
              <w:t>25</w:t>
            </w:r>
            <w:r w:rsidRPr="00676BDC">
              <w:rPr>
                <w:rFonts w:ascii="仿宋" w:eastAsia="仿宋" w:hAnsi="仿宋" w:cs="仿宋" w:hint="eastAsia"/>
                <w:sz w:val="28"/>
                <w:szCs w:val="28"/>
              </w:rPr>
              <w:t>千米每小时。驾驶员在非醉酒状态下，按照规定车速行驶的危险性较低。</w:t>
            </w:r>
          </w:p>
        </w:tc>
        <w:tc>
          <w:tcPr>
            <w:tcW w:w="5936" w:type="dxa"/>
            <w:vAlign w:val="center"/>
          </w:tcPr>
          <w:p w:rsidR="009A6335" w:rsidRPr="00676BDC" w:rsidRDefault="009A6335" w:rsidP="00676BDC">
            <w:pPr>
              <w:numPr>
                <w:ilvl w:val="0"/>
                <w:numId w:val="1"/>
              </w:numPr>
              <w:spacing w:line="320" w:lineRule="exact"/>
              <w:jc w:val="left"/>
              <w:rPr>
                <w:rFonts w:ascii="仿宋" w:eastAsia="仿宋" w:hAnsi="仿宋" w:cs="Times New Roman"/>
                <w:sz w:val="28"/>
                <w:szCs w:val="28"/>
              </w:rPr>
            </w:pPr>
            <w:r w:rsidRPr="00676BDC">
              <w:rPr>
                <w:rFonts w:ascii="仿宋" w:eastAsia="仿宋" w:hAnsi="仿宋" w:cs="仿宋" w:hint="eastAsia"/>
                <w:sz w:val="28"/>
                <w:szCs w:val="28"/>
              </w:rPr>
              <w:t>不采纳。根据《广东省道路交通安全条例》第三十六条第二款规定，在没有非机动车道的道路，非机动车应当从道路两侧通行。通行宽度从道路（不含路肩）右侧边缘线算起，电动自行车不得超过一点五米。</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2.</w:t>
            </w:r>
            <w:r w:rsidRPr="00676BDC">
              <w:rPr>
                <w:rFonts w:ascii="仿宋" w:eastAsia="仿宋" w:hAnsi="仿宋" w:cs="仿宋" w:hint="eastAsia"/>
                <w:sz w:val="28"/>
                <w:szCs w:val="28"/>
              </w:rPr>
              <w:t>不采纳。根据《汕头经济特区道路交通安全管理条例》第五十八条第九项规定，酒后不得驾驶安装动力装置的非机动车。</w:t>
            </w:r>
          </w:p>
        </w:tc>
      </w:tr>
      <w:tr w:rsidR="009A6335">
        <w:trPr>
          <w:trHeight w:val="1438"/>
        </w:trPr>
        <w:tc>
          <w:tcPr>
            <w:tcW w:w="865" w:type="dxa"/>
            <w:vAlign w:val="center"/>
          </w:tcPr>
          <w:p w:rsidR="009A6335" w:rsidRPr="00676BDC" w:rsidRDefault="009A6335" w:rsidP="00676BDC">
            <w:pPr>
              <w:spacing w:line="320" w:lineRule="exact"/>
              <w:jc w:val="center"/>
              <w:rPr>
                <w:rFonts w:ascii="仿宋" w:eastAsia="仿宋" w:hAnsi="仿宋" w:cs="仿宋"/>
                <w:sz w:val="28"/>
                <w:szCs w:val="28"/>
              </w:rPr>
            </w:pPr>
            <w:r w:rsidRPr="00676BDC">
              <w:rPr>
                <w:rFonts w:ascii="仿宋" w:eastAsia="仿宋" w:hAnsi="仿宋" w:cs="仿宋"/>
                <w:sz w:val="28"/>
                <w:szCs w:val="28"/>
              </w:rPr>
              <w:t>7</w:t>
            </w:r>
          </w:p>
        </w:tc>
        <w:tc>
          <w:tcPr>
            <w:tcW w:w="1936" w:type="dxa"/>
            <w:vAlign w:val="center"/>
          </w:tcPr>
          <w:p w:rsidR="009A6335" w:rsidRPr="00676BDC" w:rsidRDefault="009A6335" w:rsidP="00676BDC">
            <w:pPr>
              <w:spacing w:line="320" w:lineRule="exact"/>
              <w:jc w:val="center"/>
              <w:rPr>
                <w:rFonts w:ascii="仿宋" w:eastAsia="仿宋" w:hAnsi="仿宋" w:cs="Times New Roman"/>
                <w:sz w:val="28"/>
                <w:szCs w:val="28"/>
              </w:rPr>
            </w:pPr>
            <w:r w:rsidRPr="00676BDC">
              <w:rPr>
                <w:rFonts w:ascii="仿宋" w:eastAsia="仿宋" w:hAnsi="仿宋" w:cs="仿宋" w:hint="eastAsia"/>
                <w:sz w:val="28"/>
                <w:szCs w:val="28"/>
              </w:rPr>
              <w:t>电子邮件</w:t>
            </w:r>
          </w:p>
        </w:tc>
        <w:tc>
          <w:tcPr>
            <w:tcW w:w="5590" w:type="dxa"/>
            <w:vAlign w:val="center"/>
          </w:tcPr>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hint="eastAsia"/>
                <w:sz w:val="28"/>
                <w:szCs w:val="28"/>
              </w:rPr>
              <w:t>《汕头经济特区电动自行车管理条例（征求意见稿）》文中通行规定的第十二条的第二项“初次登记满十年不得上路”的规定不妥当。提出合理延长电动自行车使用年限的建议。</w:t>
            </w:r>
          </w:p>
        </w:tc>
        <w:tc>
          <w:tcPr>
            <w:tcW w:w="5936" w:type="dxa"/>
            <w:vAlign w:val="center"/>
          </w:tcPr>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hint="eastAsia"/>
                <w:sz w:val="28"/>
                <w:szCs w:val="28"/>
              </w:rPr>
              <w:t>不采纳。该项条例借鉴学习《江苏省电动自行车管理条例》第二十条规定，对电动自行车上道路通行使用期限进行限制。</w:t>
            </w:r>
          </w:p>
        </w:tc>
      </w:tr>
      <w:tr w:rsidR="009A6335">
        <w:trPr>
          <w:trHeight w:val="1438"/>
        </w:trPr>
        <w:tc>
          <w:tcPr>
            <w:tcW w:w="865" w:type="dxa"/>
            <w:vAlign w:val="center"/>
          </w:tcPr>
          <w:p w:rsidR="009A6335" w:rsidRPr="00676BDC" w:rsidRDefault="009A6335" w:rsidP="00676BDC">
            <w:pPr>
              <w:spacing w:line="320" w:lineRule="exact"/>
              <w:jc w:val="center"/>
              <w:rPr>
                <w:rFonts w:ascii="仿宋" w:eastAsia="仿宋" w:hAnsi="仿宋" w:cs="仿宋"/>
                <w:sz w:val="28"/>
                <w:szCs w:val="28"/>
              </w:rPr>
            </w:pPr>
            <w:r w:rsidRPr="00676BDC">
              <w:rPr>
                <w:rFonts w:ascii="仿宋" w:eastAsia="仿宋" w:hAnsi="仿宋" w:cs="仿宋"/>
                <w:sz w:val="28"/>
                <w:szCs w:val="28"/>
              </w:rPr>
              <w:t>8</w:t>
            </w:r>
          </w:p>
        </w:tc>
        <w:tc>
          <w:tcPr>
            <w:tcW w:w="1936" w:type="dxa"/>
            <w:vAlign w:val="center"/>
          </w:tcPr>
          <w:p w:rsidR="009A6335" w:rsidRPr="00676BDC" w:rsidRDefault="009A6335" w:rsidP="00676BDC">
            <w:pPr>
              <w:spacing w:line="320" w:lineRule="exact"/>
              <w:jc w:val="center"/>
              <w:rPr>
                <w:rFonts w:ascii="仿宋" w:eastAsia="仿宋" w:hAnsi="仿宋" w:cs="Times New Roman"/>
                <w:sz w:val="28"/>
                <w:szCs w:val="28"/>
              </w:rPr>
            </w:pPr>
            <w:r w:rsidRPr="00676BDC">
              <w:rPr>
                <w:rFonts w:ascii="仿宋" w:eastAsia="仿宋" w:hAnsi="仿宋" w:cs="仿宋" w:hint="eastAsia"/>
                <w:sz w:val="28"/>
                <w:szCs w:val="28"/>
              </w:rPr>
              <w:t>电子邮件</w:t>
            </w:r>
          </w:p>
        </w:tc>
        <w:tc>
          <w:tcPr>
            <w:tcW w:w="5590" w:type="dxa"/>
            <w:vAlign w:val="center"/>
          </w:tcPr>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hint="eastAsia"/>
                <w:sz w:val="28"/>
                <w:szCs w:val="28"/>
              </w:rPr>
              <w:t>目前汕头有一些露天的电动自行车充电桩投入使用，但有些充电桩都是露天放置，遇到雷雨天气充电的车辆会产生安全事故；对于已建及新建的露天充电桩，条例应该做出指引；现露天充电桩只设置简单的插头防雨罩，对整车的充电安全还是不能保证；应当再配置简易的防雨棚，才能满足安全使用。可以参考《清远市既有物业服务小区电动自行车停放充电场所建设工作指引》</w:t>
            </w:r>
          </w:p>
        </w:tc>
        <w:tc>
          <w:tcPr>
            <w:tcW w:w="5936" w:type="dxa"/>
            <w:vAlign w:val="center"/>
          </w:tcPr>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hint="eastAsia"/>
                <w:sz w:val="28"/>
                <w:szCs w:val="28"/>
              </w:rPr>
              <w:t>不采纳。立法是对电动自行车管理的全面规范，工作指引是对特定管理工作提供操作指引。对物业服务小区电动自行车停放充电管理方面，国务院电动自行车安全隐患全链条整治专班已出台《居民小区电动自行车停放充电管理指南》，指导居民小区管理单位做好电动自行车停放充电管理工作。</w:t>
            </w:r>
          </w:p>
        </w:tc>
      </w:tr>
      <w:tr w:rsidR="009A6335">
        <w:trPr>
          <w:trHeight w:val="1438"/>
        </w:trPr>
        <w:tc>
          <w:tcPr>
            <w:tcW w:w="865" w:type="dxa"/>
            <w:vAlign w:val="center"/>
          </w:tcPr>
          <w:p w:rsidR="009A6335" w:rsidRPr="00676BDC" w:rsidRDefault="009A6335" w:rsidP="00676BDC">
            <w:pPr>
              <w:spacing w:line="320" w:lineRule="exact"/>
              <w:jc w:val="center"/>
              <w:rPr>
                <w:rFonts w:ascii="仿宋" w:eastAsia="仿宋" w:hAnsi="仿宋" w:cs="仿宋"/>
                <w:sz w:val="28"/>
                <w:szCs w:val="28"/>
              </w:rPr>
            </w:pPr>
            <w:r w:rsidRPr="00676BDC">
              <w:rPr>
                <w:rFonts w:ascii="仿宋" w:eastAsia="仿宋" w:hAnsi="仿宋" w:cs="仿宋"/>
                <w:sz w:val="28"/>
                <w:szCs w:val="28"/>
              </w:rPr>
              <w:t>9</w:t>
            </w:r>
          </w:p>
        </w:tc>
        <w:tc>
          <w:tcPr>
            <w:tcW w:w="1936" w:type="dxa"/>
            <w:vAlign w:val="center"/>
          </w:tcPr>
          <w:p w:rsidR="009A6335" w:rsidRPr="00676BDC" w:rsidRDefault="009A6335" w:rsidP="00676BDC">
            <w:pPr>
              <w:spacing w:line="320" w:lineRule="exact"/>
              <w:jc w:val="center"/>
              <w:rPr>
                <w:rFonts w:ascii="仿宋" w:eastAsia="仿宋" w:hAnsi="仿宋" w:cs="Times New Roman"/>
                <w:sz w:val="28"/>
                <w:szCs w:val="28"/>
              </w:rPr>
            </w:pPr>
            <w:r w:rsidRPr="00676BDC">
              <w:rPr>
                <w:rFonts w:ascii="仿宋" w:eastAsia="仿宋" w:hAnsi="仿宋" w:cs="仿宋" w:hint="eastAsia"/>
                <w:sz w:val="28"/>
                <w:szCs w:val="28"/>
              </w:rPr>
              <w:t>电子邮件</w:t>
            </w:r>
          </w:p>
        </w:tc>
        <w:tc>
          <w:tcPr>
            <w:tcW w:w="5590" w:type="dxa"/>
            <w:vAlign w:val="center"/>
          </w:tcPr>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1.</w:t>
            </w:r>
            <w:r w:rsidRPr="00676BDC">
              <w:rPr>
                <w:rFonts w:ascii="仿宋" w:eastAsia="仿宋" w:hAnsi="仿宋" w:cs="仿宋" w:hint="eastAsia"/>
                <w:sz w:val="28"/>
                <w:szCs w:val="28"/>
              </w:rPr>
              <w:t>第七条第二款中的“即时配送”删除，调整为：“用于邮政快递、租赁等特定领域的电动自行车，由特定领域企业或单位申领专用号牌。市人民政府可以根据城市道路交通发展需求等实际情况，对特定领域电动自行车实行总量调控或者淘汰等措施。”</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2.</w:t>
            </w:r>
            <w:r w:rsidRPr="00676BDC">
              <w:rPr>
                <w:rFonts w:ascii="仿宋" w:eastAsia="仿宋" w:hAnsi="仿宋" w:cs="仿宋" w:hint="eastAsia"/>
                <w:sz w:val="28"/>
                <w:szCs w:val="28"/>
              </w:rPr>
              <w:t>第二十四条【投放管理】中“一次性卫生消毒头套”删除。</w:t>
            </w:r>
          </w:p>
        </w:tc>
        <w:tc>
          <w:tcPr>
            <w:tcW w:w="5936" w:type="dxa"/>
            <w:vAlign w:val="center"/>
          </w:tcPr>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1.</w:t>
            </w:r>
            <w:r w:rsidRPr="00676BDC">
              <w:rPr>
                <w:rFonts w:ascii="仿宋" w:eastAsia="仿宋" w:hAnsi="仿宋" w:cs="仿宋" w:hint="eastAsia"/>
                <w:sz w:val="28"/>
                <w:szCs w:val="28"/>
              </w:rPr>
              <w:t>不采纳。该项条例借鉴学习《广州市电动自行车管理条例》第四十一条第二款，明确驾驶即时配送等民生服务行业的电动自行车上道路行驶应当悬挂专用号牌。</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2.</w:t>
            </w:r>
            <w:r w:rsidRPr="00676BDC">
              <w:rPr>
                <w:rFonts w:ascii="仿宋" w:eastAsia="仿宋" w:hAnsi="仿宋" w:cs="仿宋" w:hint="eastAsia"/>
                <w:sz w:val="28"/>
                <w:szCs w:val="28"/>
              </w:rPr>
              <w:t>不采纳。《汕头市城市市容和环境卫生管理条例》等要求保持城市公共区域的整洁和卫生，运营企业有责任对车辆进行必要清洁和维护，确保驾驶人使用安全头盔的安全卫生。</w:t>
            </w:r>
          </w:p>
        </w:tc>
      </w:tr>
      <w:tr w:rsidR="009A6335">
        <w:trPr>
          <w:trHeight w:val="1438"/>
        </w:trPr>
        <w:tc>
          <w:tcPr>
            <w:tcW w:w="865" w:type="dxa"/>
            <w:vAlign w:val="center"/>
          </w:tcPr>
          <w:p w:rsidR="009A6335" w:rsidRPr="00676BDC" w:rsidRDefault="009A6335" w:rsidP="00676BDC">
            <w:pPr>
              <w:spacing w:line="320" w:lineRule="exact"/>
              <w:jc w:val="center"/>
              <w:rPr>
                <w:rFonts w:ascii="仿宋" w:eastAsia="仿宋" w:hAnsi="仿宋" w:cs="仿宋"/>
                <w:sz w:val="28"/>
                <w:szCs w:val="28"/>
              </w:rPr>
            </w:pPr>
            <w:r w:rsidRPr="00676BDC">
              <w:rPr>
                <w:rFonts w:ascii="仿宋" w:eastAsia="仿宋" w:hAnsi="仿宋" w:cs="仿宋"/>
                <w:sz w:val="28"/>
                <w:szCs w:val="28"/>
              </w:rPr>
              <w:t>10</w:t>
            </w:r>
          </w:p>
        </w:tc>
        <w:tc>
          <w:tcPr>
            <w:tcW w:w="1936" w:type="dxa"/>
            <w:vAlign w:val="center"/>
          </w:tcPr>
          <w:p w:rsidR="009A6335" w:rsidRPr="00676BDC" w:rsidRDefault="009A6335" w:rsidP="00676BDC">
            <w:pPr>
              <w:spacing w:line="320" w:lineRule="exact"/>
              <w:jc w:val="center"/>
              <w:rPr>
                <w:rFonts w:ascii="仿宋" w:eastAsia="仿宋" w:hAnsi="仿宋" w:cs="Times New Roman"/>
                <w:sz w:val="28"/>
                <w:szCs w:val="28"/>
              </w:rPr>
            </w:pPr>
            <w:r w:rsidRPr="00676BDC">
              <w:rPr>
                <w:rFonts w:ascii="仿宋" w:eastAsia="仿宋" w:hAnsi="仿宋" w:cs="仿宋" w:hint="eastAsia"/>
                <w:sz w:val="28"/>
                <w:szCs w:val="28"/>
              </w:rPr>
              <w:t>电子邮件</w:t>
            </w:r>
          </w:p>
        </w:tc>
        <w:tc>
          <w:tcPr>
            <w:tcW w:w="5590" w:type="dxa"/>
            <w:vAlign w:val="center"/>
          </w:tcPr>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1.</w:t>
            </w:r>
            <w:r w:rsidRPr="00676BDC">
              <w:rPr>
                <w:rFonts w:ascii="仿宋" w:eastAsia="仿宋" w:hAnsi="仿宋" w:cs="仿宋" w:hint="eastAsia"/>
                <w:sz w:val="28"/>
                <w:szCs w:val="28"/>
              </w:rPr>
              <w:t>建议学习深圳，在有条件的情况下，汽车与非汽车必须严格分流，各行其道。</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2.</w:t>
            </w:r>
            <w:r w:rsidRPr="00676BDC">
              <w:rPr>
                <w:rFonts w:ascii="仿宋" w:eastAsia="仿宋" w:hAnsi="仿宋" w:cs="仿宋" w:hint="eastAsia"/>
                <w:sz w:val="28"/>
                <w:szCs w:val="28"/>
              </w:rPr>
              <w:t>取消红绿灯路口的摩托车等待区。</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3.</w:t>
            </w:r>
            <w:r w:rsidRPr="00676BDC">
              <w:rPr>
                <w:rFonts w:ascii="仿宋" w:eastAsia="仿宋" w:hAnsi="仿宋" w:cs="仿宋" w:hint="eastAsia"/>
                <w:sz w:val="28"/>
                <w:szCs w:val="28"/>
              </w:rPr>
              <w:t>学习深圳建立个人违章记录查询小程序。</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4.</w:t>
            </w:r>
            <w:r w:rsidRPr="00676BDC">
              <w:rPr>
                <w:rFonts w:ascii="仿宋" w:eastAsia="仿宋" w:hAnsi="仿宋" w:cs="仿宋" w:hint="eastAsia"/>
                <w:sz w:val="28"/>
                <w:szCs w:val="28"/>
              </w:rPr>
              <w:t>严禁四轮以下机动车与非机动车上城市快速路。</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5.</w:t>
            </w:r>
            <w:r w:rsidRPr="00676BDC">
              <w:rPr>
                <w:rFonts w:ascii="仿宋" w:eastAsia="仿宋" w:hAnsi="仿宋" w:cs="仿宋" w:hint="eastAsia"/>
                <w:sz w:val="28"/>
                <w:szCs w:val="28"/>
              </w:rPr>
              <w:t>学习全国各大城市，派声音好听的小哥哥小姐姐交警上路“喊麦”。</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6.</w:t>
            </w:r>
            <w:r w:rsidRPr="00676BDC">
              <w:rPr>
                <w:rFonts w:ascii="仿宋" w:eastAsia="仿宋" w:hAnsi="仿宋" w:cs="仿宋" w:hint="eastAsia"/>
                <w:sz w:val="28"/>
                <w:szCs w:val="28"/>
              </w:rPr>
              <w:t>严惩占用非机动车道停车、泊车的机动车。</w:t>
            </w:r>
          </w:p>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sz w:val="28"/>
                <w:szCs w:val="28"/>
              </w:rPr>
              <w:t>7.</w:t>
            </w:r>
            <w:r w:rsidRPr="00676BDC">
              <w:rPr>
                <w:rFonts w:ascii="仿宋" w:eastAsia="仿宋" w:hAnsi="仿宋" w:cs="仿宋" w:hint="eastAsia"/>
                <w:sz w:val="28"/>
                <w:szCs w:val="28"/>
              </w:rPr>
              <w:t>严惩压实线行驶的汽车与非机动车</w:t>
            </w:r>
          </w:p>
        </w:tc>
        <w:tc>
          <w:tcPr>
            <w:tcW w:w="5936" w:type="dxa"/>
            <w:vAlign w:val="center"/>
          </w:tcPr>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hint="eastAsia"/>
                <w:sz w:val="28"/>
                <w:szCs w:val="28"/>
              </w:rPr>
              <w:t>该意见没有提出对《汕头经济特区电动自行车管理条例》（公开征求意见稿）的修改建议。</w:t>
            </w:r>
          </w:p>
          <w:p w:rsidR="009A6335" w:rsidRPr="00676BDC" w:rsidRDefault="009A6335" w:rsidP="00676BDC">
            <w:pPr>
              <w:spacing w:line="320" w:lineRule="exact"/>
              <w:jc w:val="left"/>
              <w:rPr>
                <w:rFonts w:ascii="仿宋" w:eastAsia="仿宋" w:hAnsi="仿宋" w:cs="Times New Roman"/>
                <w:sz w:val="28"/>
                <w:szCs w:val="28"/>
              </w:rPr>
            </w:pPr>
          </w:p>
        </w:tc>
      </w:tr>
      <w:tr w:rsidR="009A6335">
        <w:trPr>
          <w:trHeight w:val="1438"/>
        </w:trPr>
        <w:tc>
          <w:tcPr>
            <w:tcW w:w="865" w:type="dxa"/>
            <w:vAlign w:val="center"/>
          </w:tcPr>
          <w:p w:rsidR="009A6335" w:rsidRPr="00676BDC" w:rsidRDefault="009A6335" w:rsidP="00676BDC">
            <w:pPr>
              <w:spacing w:line="320" w:lineRule="exact"/>
              <w:jc w:val="center"/>
              <w:rPr>
                <w:rFonts w:ascii="仿宋" w:eastAsia="仿宋" w:hAnsi="仿宋" w:cs="仿宋"/>
                <w:sz w:val="28"/>
                <w:szCs w:val="28"/>
              </w:rPr>
            </w:pPr>
            <w:r w:rsidRPr="00676BDC">
              <w:rPr>
                <w:rFonts w:ascii="仿宋" w:eastAsia="仿宋" w:hAnsi="仿宋" w:cs="仿宋"/>
                <w:sz w:val="28"/>
                <w:szCs w:val="28"/>
              </w:rPr>
              <w:t>11</w:t>
            </w:r>
          </w:p>
        </w:tc>
        <w:tc>
          <w:tcPr>
            <w:tcW w:w="1936" w:type="dxa"/>
            <w:vAlign w:val="center"/>
          </w:tcPr>
          <w:p w:rsidR="009A6335" w:rsidRPr="00676BDC" w:rsidRDefault="009A6335" w:rsidP="00676BDC">
            <w:pPr>
              <w:spacing w:line="320" w:lineRule="exact"/>
              <w:jc w:val="center"/>
              <w:rPr>
                <w:rFonts w:ascii="仿宋" w:eastAsia="仿宋" w:hAnsi="仿宋" w:cs="Times New Roman"/>
                <w:sz w:val="28"/>
                <w:szCs w:val="28"/>
              </w:rPr>
            </w:pPr>
            <w:r w:rsidRPr="00676BDC">
              <w:rPr>
                <w:rFonts w:ascii="仿宋" w:eastAsia="仿宋" w:hAnsi="仿宋" w:cs="仿宋" w:hint="eastAsia"/>
                <w:sz w:val="28"/>
                <w:szCs w:val="28"/>
              </w:rPr>
              <w:t>群众来信</w:t>
            </w:r>
          </w:p>
        </w:tc>
        <w:tc>
          <w:tcPr>
            <w:tcW w:w="5590" w:type="dxa"/>
            <w:vAlign w:val="center"/>
          </w:tcPr>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hint="eastAsia"/>
                <w:sz w:val="28"/>
                <w:szCs w:val="28"/>
              </w:rPr>
              <w:t>建议条例第二十条增加“非机动车道最小宽度不应小于</w:t>
            </w:r>
            <w:r w:rsidRPr="00676BDC">
              <w:rPr>
                <w:rFonts w:ascii="仿宋" w:eastAsia="仿宋" w:hAnsi="仿宋" w:cs="仿宋"/>
                <w:sz w:val="28"/>
                <w:szCs w:val="28"/>
              </w:rPr>
              <w:t>3.5</w:t>
            </w:r>
            <w:r w:rsidRPr="00676BDC">
              <w:rPr>
                <w:rFonts w:ascii="仿宋" w:eastAsia="仿宋" w:hAnsi="仿宋" w:cs="仿宋" w:hint="eastAsia"/>
                <w:sz w:val="28"/>
                <w:szCs w:val="28"/>
              </w:rPr>
              <w:t>米，并配套建设交通监控设备”</w:t>
            </w:r>
          </w:p>
        </w:tc>
        <w:tc>
          <w:tcPr>
            <w:tcW w:w="5936" w:type="dxa"/>
            <w:vAlign w:val="center"/>
          </w:tcPr>
          <w:p w:rsidR="009A6335" w:rsidRPr="00676BDC" w:rsidRDefault="009A6335" w:rsidP="00676BDC">
            <w:pPr>
              <w:spacing w:line="320" w:lineRule="exact"/>
              <w:jc w:val="left"/>
              <w:rPr>
                <w:rFonts w:ascii="仿宋" w:eastAsia="仿宋" w:hAnsi="仿宋" w:cs="Times New Roman"/>
                <w:sz w:val="28"/>
                <w:szCs w:val="28"/>
              </w:rPr>
            </w:pPr>
            <w:r w:rsidRPr="00676BDC">
              <w:rPr>
                <w:rFonts w:ascii="仿宋" w:eastAsia="仿宋" w:hAnsi="仿宋" w:cs="仿宋" w:hint="eastAsia"/>
                <w:sz w:val="28"/>
                <w:szCs w:val="28"/>
              </w:rPr>
              <w:t>采纳。</w:t>
            </w:r>
          </w:p>
        </w:tc>
      </w:tr>
    </w:tbl>
    <w:p w:rsidR="009A6335" w:rsidRDefault="009A6335">
      <w:pPr>
        <w:rPr>
          <w:rFonts w:cs="Times New Roman"/>
        </w:rPr>
      </w:pPr>
    </w:p>
    <w:sectPr w:rsidR="009A6335" w:rsidSect="0026569C">
      <w:pgSz w:w="16838" w:h="11906" w:orient="landscape"/>
      <w:pgMar w:top="1800" w:right="102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335" w:rsidRDefault="009A6335">
      <w:pPr>
        <w:rPr>
          <w:rFonts w:cs="Times New Roman"/>
        </w:rPr>
      </w:pPr>
      <w:r>
        <w:rPr>
          <w:rFonts w:cs="Times New Roman"/>
        </w:rPr>
        <w:separator/>
      </w:r>
    </w:p>
  </w:endnote>
  <w:endnote w:type="continuationSeparator" w:id="0">
    <w:p w:rsidR="009A6335" w:rsidRDefault="009A633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335" w:rsidRDefault="009A6335">
      <w:pPr>
        <w:rPr>
          <w:rFonts w:cs="Times New Roman"/>
        </w:rPr>
      </w:pPr>
      <w:r>
        <w:rPr>
          <w:rFonts w:cs="Times New Roman"/>
        </w:rPr>
        <w:separator/>
      </w:r>
    </w:p>
  </w:footnote>
  <w:footnote w:type="continuationSeparator" w:id="0">
    <w:p w:rsidR="009A6335" w:rsidRDefault="009A633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0777ED"/>
    <w:multiLevelType w:val="singleLevel"/>
    <w:tmpl w:val="B70777ED"/>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jUyMzMyYjI2NjE5NWYwNmQzOTk5ODBjYmUyYTY1YzcifQ=="/>
  </w:docVars>
  <w:rsids>
    <w:rsidRoot w:val="6F315D4C"/>
    <w:rsid w:val="DE95C3BE"/>
    <w:rsid w:val="DFDB9364"/>
    <w:rsid w:val="DFFFF502"/>
    <w:rsid w:val="E6B2DC51"/>
    <w:rsid w:val="E6FFAA47"/>
    <w:rsid w:val="E7DD4A0B"/>
    <w:rsid w:val="E7F52B79"/>
    <w:rsid w:val="EB7F8D93"/>
    <w:rsid w:val="EBEC3519"/>
    <w:rsid w:val="EC702989"/>
    <w:rsid w:val="F28F2EBE"/>
    <w:rsid w:val="F5FC7629"/>
    <w:rsid w:val="F6D6831A"/>
    <w:rsid w:val="F6DFB6FE"/>
    <w:rsid w:val="F6EEF824"/>
    <w:rsid w:val="F77F6543"/>
    <w:rsid w:val="F7DF5146"/>
    <w:rsid w:val="FAFF9CCE"/>
    <w:rsid w:val="FBCFC9B0"/>
    <w:rsid w:val="FEFD1C79"/>
    <w:rsid w:val="FF9E0921"/>
    <w:rsid w:val="FFFDA1D7"/>
    <w:rsid w:val="00023126"/>
    <w:rsid w:val="0026569C"/>
    <w:rsid w:val="00676BDC"/>
    <w:rsid w:val="009A6335"/>
    <w:rsid w:val="00BD07D2"/>
    <w:rsid w:val="04CC72B4"/>
    <w:rsid w:val="09F57382"/>
    <w:rsid w:val="0B7E0F3E"/>
    <w:rsid w:val="0D5E04FB"/>
    <w:rsid w:val="0FF64465"/>
    <w:rsid w:val="104E485E"/>
    <w:rsid w:val="12CC4FFB"/>
    <w:rsid w:val="13197012"/>
    <w:rsid w:val="1C3C6A44"/>
    <w:rsid w:val="1E3F9531"/>
    <w:rsid w:val="1F1B0FDE"/>
    <w:rsid w:val="282D3C8D"/>
    <w:rsid w:val="2C376EAB"/>
    <w:rsid w:val="2DFE564E"/>
    <w:rsid w:val="2FD78890"/>
    <w:rsid w:val="30C077AA"/>
    <w:rsid w:val="31D51596"/>
    <w:rsid w:val="327E6BD1"/>
    <w:rsid w:val="33FE6513"/>
    <w:rsid w:val="3E3C2A72"/>
    <w:rsid w:val="3E6E3DD3"/>
    <w:rsid w:val="3ECF3873"/>
    <w:rsid w:val="3FA837A5"/>
    <w:rsid w:val="3FBA371B"/>
    <w:rsid w:val="3FFCAA65"/>
    <w:rsid w:val="422D58A8"/>
    <w:rsid w:val="51C64111"/>
    <w:rsid w:val="56895C55"/>
    <w:rsid w:val="57F805FC"/>
    <w:rsid w:val="5B6A6053"/>
    <w:rsid w:val="5BC77EA1"/>
    <w:rsid w:val="5C4E699B"/>
    <w:rsid w:val="5DABA52C"/>
    <w:rsid w:val="5DC82230"/>
    <w:rsid w:val="5DFEB386"/>
    <w:rsid w:val="5ED1FC95"/>
    <w:rsid w:val="5FD77380"/>
    <w:rsid w:val="5FFEDE55"/>
    <w:rsid w:val="60055A2C"/>
    <w:rsid w:val="635B53C5"/>
    <w:rsid w:val="664F1BAD"/>
    <w:rsid w:val="66EFA790"/>
    <w:rsid w:val="67217F5F"/>
    <w:rsid w:val="67FC0ECF"/>
    <w:rsid w:val="6AE1C1BF"/>
    <w:rsid w:val="6DC07834"/>
    <w:rsid w:val="6DFF3E01"/>
    <w:rsid w:val="6EED5CE6"/>
    <w:rsid w:val="6F315D4C"/>
    <w:rsid w:val="717C64E8"/>
    <w:rsid w:val="71DC7910"/>
    <w:rsid w:val="71FC4233"/>
    <w:rsid w:val="7479DE09"/>
    <w:rsid w:val="757C5BFD"/>
    <w:rsid w:val="77CF00ED"/>
    <w:rsid w:val="77D46801"/>
    <w:rsid w:val="77FF0695"/>
    <w:rsid w:val="7AF34939"/>
    <w:rsid w:val="7F776A4A"/>
    <w:rsid w:val="7F9D32A6"/>
    <w:rsid w:val="87B7725A"/>
    <w:rsid w:val="8AFD4AFE"/>
    <w:rsid w:val="AFBFA600"/>
    <w:rsid w:val="B2F32492"/>
    <w:rsid w:val="BBFD658F"/>
    <w:rsid w:val="BE6FC5CA"/>
    <w:rsid w:val="BFFB5A9C"/>
    <w:rsid w:val="DB6FD2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69C"/>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6569C"/>
    <w:pPr>
      <w:spacing w:line="240" w:lineRule="atLeast"/>
    </w:pPr>
    <w:rPr>
      <w:rFonts w:cs="Times New Roman"/>
      <w:kern w:val="0"/>
      <w:sz w:val="44"/>
      <w:szCs w:val="44"/>
    </w:rPr>
  </w:style>
  <w:style w:type="character" w:customStyle="1" w:styleId="BodyTextChar">
    <w:name w:val="Body Text Char"/>
    <w:basedOn w:val="DefaultParagraphFont"/>
    <w:link w:val="BodyText"/>
    <w:uiPriority w:val="99"/>
    <w:semiHidden/>
    <w:rsid w:val="004E4EB5"/>
    <w:rPr>
      <w:rFonts w:ascii="Calibri" w:hAnsi="Calibri" w:cs="Calibri"/>
      <w:szCs w:val="21"/>
    </w:rPr>
  </w:style>
  <w:style w:type="table" w:styleId="TableGrid">
    <w:name w:val="Table Grid"/>
    <w:basedOn w:val="TableNormal"/>
    <w:uiPriority w:val="99"/>
    <w:rsid w:val="0026569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D07D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E4EB5"/>
    <w:rPr>
      <w:rFonts w:ascii="Calibri" w:hAnsi="Calibri" w:cs="Calibri"/>
      <w:sz w:val="18"/>
      <w:szCs w:val="18"/>
    </w:rPr>
  </w:style>
  <w:style w:type="paragraph" w:styleId="Footer">
    <w:name w:val="footer"/>
    <w:basedOn w:val="Normal"/>
    <w:link w:val="FooterChar"/>
    <w:uiPriority w:val="99"/>
    <w:rsid w:val="00BD07D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E4EB5"/>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5</Pages>
  <Words>450</Words>
  <Characters>2570</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USER-</cp:lastModifiedBy>
  <cp:revision>2</cp:revision>
  <cp:lastPrinted>2025-01-02T08:13:00Z</cp:lastPrinted>
  <dcterms:created xsi:type="dcterms:W3CDTF">2022-07-01T08:32:00Z</dcterms:created>
  <dcterms:modified xsi:type="dcterms:W3CDTF">2025-01-10T08:40:00Z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CB2A01C79F784111932C62AAB9566232_13</vt:lpwstr>
  </property>
  <property fmtid="{D5CDD505-2E9C-101B-9397-08002B2CF9AE}" pid="4" name="KSOTemplateDocerSaveRecord">
    <vt:lpwstr>eyJoZGlkIjoiYzYwNTdhMjhiYTQ2ZjI5ZWM0YzczMGEzYjY2NWNiOWYiLCJ1c2VySWQiOiIyMTcwNzM1MTEifQ==</vt:lpwstr>
  </property>
</Properties>
</file>