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海域（无居民海岛）使用权及建筑物、构筑物所有权登记</w:t>
      </w: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（转移登记）申请材料</w:t>
      </w:r>
    </w:p>
    <w:p>
      <w:pPr>
        <w:pStyle w:val="2"/>
        <w:rPr>
          <w:rFonts w:hint="eastAsia"/>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转让批准取得的海域使用权，提交原批准用海的海洋行政主管部门批准转让的文件</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因人民法院或者仲裁委员会生效法律文书导致权属发生变化的，提交人民法院或仲裁委员会生效法律文书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因继承或受遗赠取得的，应提交所有继承人的身份证明、亲属关系、放弃继承或继承协议等材料和被继承人的死亡证明、遗嘱、赠与协议等材料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买卖的，提交买卖合同，赠与的，提交赠与合同</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作价出资（入股）的，提交作价出资（入股）协议</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法人或组织合并、分立或者与他人合资、合作经营，导致权属发生转移的，提交法人或组织合并、分立的材料以及不动产权属转移的材料</w:t>
      </w:r>
      <w:r>
        <w:rPr>
          <w:rFonts w:hint="eastAsia" w:ascii="华文仿宋" w:hAnsi="华文仿宋" w:eastAsia="华文仿宋" w:cs="华文仿宋"/>
          <w:sz w:val="32"/>
          <w:szCs w:val="32"/>
          <w:lang w:eastAsia="zh-CN"/>
        </w:rPr>
        <w:t>；</w:t>
      </w:r>
    </w:p>
    <w:p>
      <w:pPr>
        <w:numPr>
          <w:ilvl w:val="0"/>
          <w:numId w:val="0"/>
        </w:numPr>
        <w:adjustRightInd w:val="0"/>
        <w:snapToGrid w:val="0"/>
        <w:spacing w:line="288" w:lineRule="auto"/>
        <w:rPr>
          <w:rFonts w:hint="default" w:ascii="Nimbus Sans" w:hAnsi="Nimbus Sans" w:eastAsia="华文仿宋" w:cs="Nimbus Sans"/>
          <w:sz w:val="32"/>
          <w:szCs w:val="32"/>
        </w:rPr>
      </w:pPr>
      <w:r>
        <w:rPr>
          <w:rFonts w:hint="default" w:ascii="Nimbus Sans" w:hAnsi="Nimbus Sans" w:eastAsia="华文仿宋" w:cs="Nimbus Sans"/>
          <w:sz w:val="32"/>
          <w:szCs w:val="32"/>
          <w:lang w:val="en-US" w:eastAsia="zh-CN"/>
        </w:rPr>
        <w:t>10.</w:t>
      </w:r>
      <w:r>
        <w:rPr>
          <w:rFonts w:hint="default" w:ascii="Nimbus Sans" w:hAnsi="Nimbus Sans" w:eastAsia="华文仿宋" w:cs="Nimbus Sans"/>
          <w:sz w:val="32"/>
          <w:szCs w:val="32"/>
        </w:rPr>
        <w:t>海域使用权以及建筑物、构筑物所有权转移的材料</w:t>
      </w:r>
      <w:r>
        <w:rPr>
          <w:rFonts w:hint="default" w:ascii="Nimbus Sans" w:hAnsi="Nimbus Sans" w:eastAsia="华文仿宋" w:cs="Nimbus Sans"/>
          <w:sz w:val="32"/>
          <w:szCs w:val="32"/>
          <w:lang w:eastAsia="zh-CN"/>
        </w:rPr>
        <w:t>；</w:t>
      </w:r>
    </w:p>
    <w:p>
      <w:pPr>
        <w:numPr>
          <w:ilvl w:val="0"/>
          <w:numId w:val="0"/>
        </w:numPr>
        <w:adjustRightInd w:val="0"/>
        <w:snapToGrid w:val="0"/>
        <w:spacing w:line="288" w:lineRule="auto"/>
        <w:rPr>
          <w:rFonts w:hint="eastAsia" w:ascii="华文仿宋" w:hAnsi="华文仿宋" w:eastAsia="华文仿宋" w:cs="华文仿宋"/>
          <w:sz w:val="32"/>
          <w:szCs w:val="32"/>
        </w:rPr>
      </w:pPr>
      <w:r>
        <w:rPr>
          <w:rFonts w:hint="default" w:ascii="Nimbus Sans" w:hAnsi="Nimbus Sans" w:eastAsia="华文仿宋" w:cs="Nimbus Sans"/>
          <w:sz w:val="32"/>
          <w:szCs w:val="32"/>
          <w:lang w:val="en-US" w:eastAsia="zh-CN"/>
        </w:rPr>
        <w:t>11.</w:t>
      </w:r>
      <w:r>
        <w:rPr>
          <w:rFonts w:hint="eastAsia" w:ascii="华文仿宋" w:hAnsi="华文仿宋" w:eastAsia="华文仿宋" w:cs="华文仿宋"/>
          <w:sz w:val="32"/>
          <w:szCs w:val="32"/>
        </w:rPr>
        <w:t>依法需要补交海域使用金、缴纳税费的，应当提交缴纳海域使用金缴纳凭证、税费缴纳凭证</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b/>
          <w:bCs/>
          <w:spacing w:val="-3"/>
          <w:sz w:val="32"/>
          <w:szCs w:val="32"/>
        </w:rPr>
      </w:pPr>
      <w:r>
        <w:rPr>
          <w:rFonts w:hint="eastAsia" w:ascii="华文仿宋" w:hAnsi="华文仿宋" w:eastAsia="华文仿宋" w:cs="华文仿宋"/>
          <w:sz w:val="32"/>
          <w:szCs w:val="32"/>
        </w:rPr>
        <w:t xml:space="preserve">　 </w:t>
      </w:r>
      <w:r>
        <w:rPr>
          <w:rFonts w:hint="eastAsia" w:ascii="华文仿宋" w:hAnsi="华文仿宋" w:eastAsia="华文仿宋" w:cs="华文仿宋"/>
          <w:b/>
          <w:bCs/>
          <w:spacing w:val="-3"/>
          <w:sz w:val="32"/>
          <w:szCs w:val="32"/>
        </w:rPr>
        <w:t xml:space="preserve"> 注：申请材料明细见附表</w:t>
      </w:r>
    </w:p>
    <w:p>
      <w:pPr>
        <w:rPr>
          <w:rFonts w:ascii="宋体" w:hAnsi="宋体" w:cs="宋体"/>
          <w:sz w:val="24"/>
        </w:rPr>
      </w:pPr>
    </w:p>
    <w:p>
      <w:pPr>
        <w:rPr>
          <w:rFonts w:ascii="宋体" w:hAnsi="宋体" w:cs="宋体"/>
          <w:sz w:val="24"/>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cs="宋体"/>
          <w:b/>
          <w:bCs/>
          <w:spacing w:val="-3"/>
          <w:sz w:val="28"/>
          <w:szCs w:val="28"/>
          <w:lang w:eastAsia="zh-CN"/>
        </w:rPr>
      </w:pPr>
      <w:r>
        <w:rPr>
          <w:rFonts w:hint="eastAsia" w:ascii="宋体" w:hAnsi="宋体" w:cs="宋体"/>
          <w:b/>
          <w:bCs/>
          <w:spacing w:val="-3"/>
          <w:sz w:val="28"/>
          <w:szCs w:val="28"/>
        </w:rPr>
        <w:t>海域（无居民海岛）使用权及建筑物、构筑物所有权</w:t>
      </w:r>
      <w:r>
        <w:rPr>
          <w:rFonts w:hint="eastAsia" w:ascii="宋体" w:hAnsi="宋体" w:cs="宋体"/>
          <w:b/>
          <w:bCs/>
          <w:spacing w:val="-3"/>
          <w:sz w:val="28"/>
          <w:szCs w:val="28"/>
          <w:lang w:eastAsia="zh-CN"/>
        </w:rPr>
        <w:t>登记</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b/>
          <w:bCs/>
          <w:spacing w:val="-3"/>
          <w:sz w:val="28"/>
          <w:szCs w:val="28"/>
        </w:rPr>
      </w:pPr>
      <w:r>
        <w:rPr>
          <w:rFonts w:hint="eastAsia" w:ascii="宋体" w:hAnsi="宋体" w:cs="宋体"/>
          <w:b/>
          <w:bCs/>
          <w:spacing w:val="-3"/>
          <w:sz w:val="28"/>
          <w:szCs w:val="28"/>
          <w:lang w:eastAsia="zh-CN"/>
        </w:rPr>
        <w:t>（</w:t>
      </w:r>
      <w:r>
        <w:rPr>
          <w:rFonts w:ascii="宋体" w:hAnsi="宋体" w:cs="宋体"/>
          <w:b/>
          <w:bCs/>
          <w:spacing w:val="-3"/>
          <w:sz w:val="28"/>
          <w:szCs w:val="28"/>
        </w:rPr>
        <w:t>转移登记</w:t>
      </w:r>
      <w:r>
        <w:rPr>
          <w:rFonts w:hint="eastAsia" w:ascii="宋体" w:hAnsi="宋体" w:cs="宋体"/>
          <w:b/>
          <w:bCs/>
          <w:spacing w:val="-3"/>
          <w:sz w:val="28"/>
          <w:szCs w:val="28"/>
          <w:lang w:eastAsia="zh-CN"/>
        </w:rPr>
        <w:t>）</w:t>
      </w:r>
      <w:r>
        <w:rPr>
          <w:rFonts w:ascii="宋体" w:hAnsi="宋体" w:cs="宋体"/>
          <w:b/>
          <w:bCs/>
          <w:spacing w:val="-3"/>
          <w:sz w:val="28"/>
          <w:szCs w:val="28"/>
        </w:rPr>
        <w:t>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4"/>
        <w:gridCol w:w="1722"/>
        <w:gridCol w:w="1138"/>
        <w:gridCol w:w="3052"/>
        <w:gridCol w:w="1149"/>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714"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22"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190"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49"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349"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14"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22"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714" w:type="dxa"/>
            <w:vMerge w:val="restart"/>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22" w:type="dxa"/>
            <w:vMerge w:val="restart"/>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714"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22"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714"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22"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714"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22"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714"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22"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714"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22"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714"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22"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714"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22"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1138" w:type="dxa"/>
            <w:vMerge w:val="restart"/>
            <w:vAlign w:val="center"/>
          </w:tcPr>
          <w:p>
            <w:pPr>
              <w:keepNext w:val="0"/>
              <w:keepLines w:val="0"/>
              <w:pageBreakBefore w:val="0"/>
              <w:kinsoku/>
              <w:wordWrap/>
              <w:overflowPunct/>
              <w:topLinePunct w:val="0"/>
              <w:autoSpaceDE w:val="0"/>
              <w:autoSpaceDN w:val="0"/>
              <w:bidi w:val="0"/>
              <w:adjustRightInd w:val="0"/>
              <w:snapToGrid w:val="0"/>
              <w:spacing w:line="280" w:lineRule="exact"/>
              <w:ind w:firstLine="210" w:firstLineChars="100"/>
              <w:jc w:val="both"/>
              <w:textAlignment w:val="auto"/>
              <w:rPr>
                <w:rFonts w:hint="eastAsia" w:ascii="华文仿宋" w:hAnsi="华文仿宋" w:eastAsia="华文仿宋" w:cs="华文仿宋"/>
                <w:sz w:val="21"/>
                <w:szCs w:val="21"/>
                <w:lang w:eastAsia="en-US"/>
              </w:rPr>
            </w:pPr>
            <w:bookmarkStart w:id="0" w:name="_GoBack"/>
            <w:bookmarkEnd w:id="0"/>
            <w:r>
              <w:rPr>
                <w:rFonts w:hint="eastAsia" w:ascii="华文仿宋" w:hAnsi="华文仿宋" w:eastAsia="华文仿宋" w:cs="华文仿宋"/>
                <w:sz w:val="21"/>
                <w:szCs w:val="21"/>
                <w:lang w:eastAsia="en-US"/>
              </w:rPr>
              <w:t>委托书</w:t>
            </w:r>
          </w:p>
        </w:tc>
        <w:tc>
          <w:tcPr>
            <w:tcW w:w="3052"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149" w:type="dxa"/>
            <w:vMerge w:val="restart"/>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49" w:type="dxa"/>
            <w:vMerge w:val="restart"/>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714"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p>
        </w:tc>
        <w:tc>
          <w:tcPr>
            <w:tcW w:w="1722"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1138"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c>
          <w:tcPr>
            <w:tcW w:w="3052"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149"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349"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14"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22"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349" w:type="dxa"/>
            <w:vMerge w:val="continue"/>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714" w:type="dxa"/>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22" w:type="dxa"/>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不动产权证书或海域（无居民海岛）使用权证书。共有的还应提交其他共有证等</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9" w:type="dxa"/>
            <w:tcBorders>
              <w:top w:val="nil"/>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7" w:hRule="atLeast"/>
        </w:trPr>
        <w:tc>
          <w:tcPr>
            <w:tcW w:w="714" w:type="dxa"/>
            <w:tcBorders>
              <w:bottom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22" w:type="dxa"/>
            <w:tcBorders>
              <w:bottom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原批准用海的海洋行政主管部门批准转让的文件</w:t>
            </w:r>
          </w:p>
        </w:tc>
        <w:tc>
          <w:tcPr>
            <w:tcW w:w="4190" w:type="dxa"/>
            <w:gridSpan w:val="2"/>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原批准机关的转移批复文件</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转让批准取得的海域使用权提交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2" w:hRule="atLeast"/>
        </w:trPr>
        <w:tc>
          <w:tcPr>
            <w:tcW w:w="714" w:type="dxa"/>
            <w:tcBorders>
              <w:top w:val="single" w:color="auto" w:sz="4" w:space="0"/>
              <w:bottom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22" w:type="dxa"/>
            <w:tcBorders>
              <w:top w:val="single" w:color="auto" w:sz="4" w:space="0"/>
              <w:bottom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人民法院或仲裁委员会生效法律文书</w:t>
            </w:r>
          </w:p>
        </w:tc>
        <w:tc>
          <w:tcPr>
            <w:tcW w:w="4190" w:type="dxa"/>
            <w:gridSpan w:val="2"/>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因人民法院或者仲裁委员会生效法律文书导致权属发生变化的，提交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714" w:type="dxa"/>
            <w:vMerge w:val="restart"/>
            <w:tcBorders>
              <w:top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22" w:type="dxa"/>
            <w:vMerge w:val="restart"/>
            <w:tcBorders>
              <w:top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color w:val="000000"/>
                <w:sz w:val="21"/>
                <w:szCs w:val="21"/>
              </w:rPr>
            </w:pPr>
            <w:r>
              <w:rPr>
                <w:rFonts w:hint="eastAsia" w:ascii="华文仿宋" w:hAnsi="华文仿宋" w:eastAsia="华文仿宋" w:cs="华文仿宋"/>
                <w:color w:val="000000"/>
                <w:sz w:val="21"/>
                <w:szCs w:val="21"/>
              </w:rPr>
              <w:t>所有继承人的身份证明、亲属关系、放弃继承或继承协议等材料和被继承人的死亡证明、遗嘱、赠与协议等材料</w:t>
            </w:r>
          </w:p>
        </w:tc>
        <w:tc>
          <w:tcPr>
            <w:tcW w:w="1138" w:type="dxa"/>
            <w:tcBorders>
              <w:bottom w:val="single" w:color="auto" w:sz="4" w:space="0"/>
              <w:right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继承权公证书或生效的法律文书。</w:t>
            </w:r>
          </w:p>
        </w:tc>
        <w:tc>
          <w:tcPr>
            <w:tcW w:w="3052" w:type="dxa"/>
            <w:tcBorders>
              <w:left w:val="single" w:color="auto" w:sz="4" w:space="0"/>
              <w:bottom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经公证的继承（受遗赠）的提交</w:t>
            </w:r>
            <w:r>
              <w:rPr>
                <w:rFonts w:hint="eastAsia" w:ascii="华文仿宋" w:hAnsi="华文仿宋" w:eastAsia="华文仿宋" w:cs="华文仿宋"/>
                <w:sz w:val="21"/>
                <w:szCs w:val="21"/>
                <w:lang w:eastAsia="zh-CN"/>
              </w:rPr>
              <w:t>。</w:t>
            </w:r>
          </w:p>
        </w:tc>
        <w:tc>
          <w:tcPr>
            <w:tcW w:w="1149" w:type="dxa"/>
            <w:vMerge w:val="restart"/>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9" w:type="dxa"/>
            <w:vMerge w:val="restart"/>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因继承或受遗赠取得的提交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14" w:type="dxa"/>
            <w:vMerge w:val="continue"/>
            <w:tcBorders>
              <w:top w:val="single" w:color="auto" w:sz="4" w:space="0"/>
              <w:bottom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22" w:type="dxa"/>
            <w:vMerge w:val="continue"/>
            <w:tcBorders>
              <w:top w:val="single" w:color="auto" w:sz="4" w:space="0"/>
              <w:bottom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color w:val="000000"/>
                <w:sz w:val="21"/>
                <w:szCs w:val="21"/>
              </w:rPr>
            </w:pPr>
          </w:p>
        </w:tc>
        <w:tc>
          <w:tcPr>
            <w:tcW w:w="1138" w:type="dxa"/>
            <w:tcBorders>
              <w:top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死亡证明、遗嘱、全部法定继承人的基本情况以及与被继承人的亲属关系等。</w:t>
            </w:r>
          </w:p>
        </w:tc>
        <w:tc>
          <w:tcPr>
            <w:tcW w:w="3052" w:type="dxa"/>
            <w:vMerge w:val="restart"/>
            <w:tcBorders>
              <w:top w:val="single" w:color="auto" w:sz="4" w:space="0"/>
              <w:left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未经公证的继承（受遗赠）的提交</w:t>
            </w:r>
            <w:r>
              <w:rPr>
                <w:rFonts w:hint="eastAsia" w:ascii="华文仿宋" w:hAnsi="华文仿宋" w:eastAsia="华文仿宋" w:cs="华文仿宋"/>
                <w:sz w:val="21"/>
                <w:szCs w:val="21"/>
                <w:lang w:eastAsia="zh-CN"/>
              </w:rPr>
              <w:t>。</w:t>
            </w:r>
          </w:p>
        </w:tc>
        <w:tc>
          <w:tcPr>
            <w:tcW w:w="1149" w:type="dxa"/>
            <w:vMerge w:val="continue"/>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349" w:type="dxa"/>
            <w:vMerge w:val="continue"/>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714" w:type="dxa"/>
            <w:vMerge w:val="continue"/>
            <w:tcBorders>
              <w:top w:val="single" w:color="auto" w:sz="4" w:space="0"/>
              <w:bottom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22" w:type="dxa"/>
            <w:vMerge w:val="continue"/>
            <w:tcBorders>
              <w:top w:val="single" w:color="auto" w:sz="4" w:space="0"/>
              <w:bottom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color w:val="000000"/>
                <w:sz w:val="21"/>
                <w:szCs w:val="21"/>
              </w:rPr>
            </w:pPr>
          </w:p>
        </w:tc>
        <w:tc>
          <w:tcPr>
            <w:tcW w:w="1138" w:type="dxa"/>
            <w:tcBorders>
              <w:top w:val="single" w:color="auto" w:sz="4" w:space="0"/>
              <w:right w:val="single" w:color="auto" w:sz="4" w:space="0"/>
            </w:tcBorders>
            <w:vAlign w:val="center"/>
          </w:tcPr>
          <w:p>
            <w:pPr>
              <w:keepNext w:val="0"/>
              <w:keepLines w:val="0"/>
              <w:pageBreakBefore w:val="0"/>
              <w:widowControl/>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经见证的放弃继承权声明证明、书面约定协议、遗赠扶养协议等材料。</w:t>
            </w:r>
          </w:p>
        </w:tc>
        <w:tc>
          <w:tcPr>
            <w:tcW w:w="3052" w:type="dxa"/>
            <w:vMerge w:val="continue"/>
            <w:tcBorders>
              <w:left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1149" w:type="dxa"/>
            <w:vMerge w:val="continue"/>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349" w:type="dxa"/>
            <w:vMerge w:val="continue"/>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714" w:type="dxa"/>
            <w:vMerge w:val="restart"/>
            <w:tcBorders>
              <w:top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22" w:type="dxa"/>
            <w:vMerge w:val="restart"/>
            <w:tcBorders>
              <w:top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买卖合同，赠与合同</w:t>
            </w: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转让合同。</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转让的提交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714" w:type="dxa"/>
            <w:vMerge w:val="continue"/>
            <w:tcBorders>
              <w:bottom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p>
        </w:tc>
        <w:tc>
          <w:tcPr>
            <w:tcW w:w="1722" w:type="dxa"/>
            <w:vMerge w:val="continue"/>
            <w:tcBorders>
              <w:bottom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赠与合同。</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9" w:type="dxa"/>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赠与的提交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14" w:type="dxa"/>
            <w:tcBorders>
              <w:top w:val="single" w:color="auto" w:sz="4" w:space="0"/>
              <w:bottom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722" w:type="dxa"/>
            <w:tcBorders>
              <w:top w:val="single" w:color="auto" w:sz="4" w:space="0"/>
              <w:bottom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作价出资（入股）协议</w:t>
            </w:r>
          </w:p>
        </w:tc>
        <w:tc>
          <w:tcPr>
            <w:tcW w:w="4190" w:type="dxa"/>
            <w:gridSpan w:val="2"/>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作价出资（入股）协议。</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作价出资（入股）的提交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atLeast"/>
        </w:trPr>
        <w:tc>
          <w:tcPr>
            <w:tcW w:w="714" w:type="dxa"/>
            <w:tcBorders>
              <w:top w:val="single" w:color="auto" w:sz="4" w:space="0"/>
              <w:bottom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9</w:t>
            </w:r>
          </w:p>
        </w:tc>
        <w:tc>
          <w:tcPr>
            <w:tcW w:w="1722" w:type="dxa"/>
            <w:tcBorders>
              <w:top w:val="single" w:color="auto" w:sz="4" w:space="0"/>
              <w:bottom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法人或组织合并、分立的材料以及不动产权属转移的材料</w:t>
            </w:r>
          </w:p>
        </w:tc>
        <w:tc>
          <w:tcPr>
            <w:tcW w:w="4190" w:type="dxa"/>
            <w:gridSpan w:val="2"/>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法人或组织合并、分立的材料以及不动产权属转移的材料。</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法人或组织合并、分立或者与他人合资、合作经营，导致权属发生转移的提交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5" w:hRule="atLeast"/>
        </w:trPr>
        <w:tc>
          <w:tcPr>
            <w:tcW w:w="714" w:type="dxa"/>
            <w:tcBorders>
              <w:top w:val="single" w:color="auto" w:sz="4" w:space="0"/>
              <w:bottom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10</w:t>
            </w:r>
          </w:p>
        </w:tc>
        <w:tc>
          <w:tcPr>
            <w:tcW w:w="1722" w:type="dxa"/>
            <w:tcBorders>
              <w:top w:val="single" w:color="auto" w:sz="4" w:space="0"/>
              <w:bottom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海域使用权以及建筑物、构筑物所有权转移的材料</w:t>
            </w:r>
          </w:p>
        </w:tc>
        <w:tc>
          <w:tcPr>
            <w:tcW w:w="4190" w:type="dxa"/>
            <w:gridSpan w:val="2"/>
            <w:tcBorders>
              <w:bottom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其他共有人同意的书面材料。</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color w:val="000000"/>
                <w:sz w:val="21"/>
                <w:szCs w:val="21"/>
              </w:rPr>
              <w:t>按份共有人转让不动产的，受让人是共有人以外的人的还应当提交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9" w:hRule="atLeast"/>
        </w:trPr>
        <w:tc>
          <w:tcPr>
            <w:tcW w:w="714" w:type="dxa"/>
            <w:tcBorders>
              <w:top w:val="single" w:color="auto" w:sz="4" w:space="0"/>
            </w:tcBorders>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11</w:t>
            </w:r>
          </w:p>
        </w:tc>
        <w:tc>
          <w:tcPr>
            <w:tcW w:w="1722" w:type="dxa"/>
            <w:tcBorders>
              <w:top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缴纳海域使用金缴纳凭证、税费缴纳凭证</w:t>
            </w:r>
          </w:p>
        </w:tc>
        <w:tc>
          <w:tcPr>
            <w:tcW w:w="4190" w:type="dxa"/>
            <w:gridSpan w:val="2"/>
            <w:tcBorders>
              <w:top w:val="single" w:color="auto" w:sz="4" w:space="0"/>
            </w:tcBorders>
            <w:vAlign w:val="center"/>
          </w:tcPr>
          <w:p>
            <w:pPr>
              <w:keepNext w:val="0"/>
              <w:keepLines w:val="0"/>
              <w:pageBreakBefore w:val="0"/>
              <w:kinsoku/>
              <w:wordWrap/>
              <w:overflowPunct/>
              <w:topLinePunct w:val="0"/>
              <w:bidi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海域（海岛）使用金缴纳凭证、税费缴纳凭证。</w:t>
            </w:r>
          </w:p>
        </w:tc>
        <w:tc>
          <w:tcPr>
            <w:tcW w:w="11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349" w:type="dxa"/>
            <w:vAlign w:val="center"/>
          </w:tcPr>
          <w:p>
            <w:pPr>
              <w:keepNext w:val="0"/>
              <w:keepLines w:val="0"/>
              <w:pageBreakBefore w:val="0"/>
              <w:kinsoku/>
              <w:wordWrap/>
              <w:overflowPunct/>
              <w:topLinePunct w:val="0"/>
              <w:autoSpaceDE w:val="0"/>
              <w:autoSpaceDN w:val="0"/>
              <w:bidi w:val="0"/>
              <w:adjustRightInd w:val="0"/>
              <w:snapToGrid w:val="0"/>
              <w:spacing w:line="28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依法需要补交海域使用金、缴纳税费的，</w:t>
            </w:r>
          </w:p>
        </w:tc>
      </w:tr>
    </w:tbl>
    <w:p>
      <w:pPr>
        <w:keepNext w:val="0"/>
        <w:keepLines w:val="0"/>
        <w:pageBreakBefore w:val="0"/>
        <w:kinsoku/>
        <w:wordWrap/>
        <w:overflowPunct/>
        <w:topLinePunct w:val="0"/>
        <w:autoSpaceDE w:val="0"/>
        <w:autoSpaceDN w:val="0"/>
        <w:bidi w:val="0"/>
        <w:spacing w:before="39" w:line="280" w:lineRule="exact"/>
        <w:ind w:left="15" w:right="119"/>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numPr>
          <w:ilvl w:val="0"/>
          <w:numId w:val="0"/>
        </w:numPr>
        <w:kinsoku/>
        <w:wordWrap/>
        <w:overflowPunct/>
        <w:topLinePunct w:val="0"/>
        <w:bidi w:val="0"/>
        <w:spacing w:line="280" w:lineRule="exact"/>
        <w:ind w:firstLine="420" w:firstLineChars="200"/>
        <w:textAlignment w:val="auto"/>
        <w:rPr>
          <w:rFonts w:hint="eastAsia" w:ascii="华文仿宋" w:hAnsi="华文仿宋" w:eastAsia="华文仿宋" w:cs="华文仿宋"/>
          <w:kern w:val="0"/>
          <w:sz w:val="21"/>
          <w:szCs w:val="21"/>
          <w:lang w:eastAsia="zh-CN"/>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r>
        <w:rPr>
          <w:rFonts w:hint="eastAsia" w:ascii="华文仿宋" w:hAnsi="华文仿宋" w:eastAsia="华文仿宋" w:cs="华文仿宋"/>
          <w:kern w:val="0"/>
          <w:sz w:val="21"/>
          <w:szCs w:val="21"/>
          <w:lang w:eastAsia="zh-CN"/>
        </w:rPr>
        <w:t>。</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Sans">
    <w:panose1 w:val="00000500000000000000"/>
    <w:charset w:val="00"/>
    <w:family w:val="auto"/>
    <w:pitch w:val="default"/>
    <w:sig w:usb0="00000287" w:usb1="00000800" w:usb2="00000000" w:usb3="00000000" w:csb0="6000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0330E5"/>
    <w:rsid w:val="002B7C7F"/>
    <w:rsid w:val="00344A3F"/>
    <w:rsid w:val="003734D6"/>
    <w:rsid w:val="00373F09"/>
    <w:rsid w:val="003764B6"/>
    <w:rsid w:val="00436630"/>
    <w:rsid w:val="004841C1"/>
    <w:rsid w:val="004A7A2E"/>
    <w:rsid w:val="005C1164"/>
    <w:rsid w:val="00660A55"/>
    <w:rsid w:val="0070388A"/>
    <w:rsid w:val="00773BA7"/>
    <w:rsid w:val="007843AA"/>
    <w:rsid w:val="007F3919"/>
    <w:rsid w:val="00800703"/>
    <w:rsid w:val="00822702"/>
    <w:rsid w:val="008C0034"/>
    <w:rsid w:val="008E023A"/>
    <w:rsid w:val="00951809"/>
    <w:rsid w:val="00AC78F2"/>
    <w:rsid w:val="00BB7B70"/>
    <w:rsid w:val="00BC56B4"/>
    <w:rsid w:val="00D068B7"/>
    <w:rsid w:val="00E31DE2"/>
    <w:rsid w:val="00E87BE2"/>
    <w:rsid w:val="00F02022"/>
    <w:rsid w:val="0FD5606D"/>
    <w:rsid w:val="1FCFB3DC"/>
    <w:rsid w:val="399FE660"/>
    <w:rsid w:val="4ED40086"/>
    <w:rsid w:val="574F6FB0"/>
    <w:rsid w:val="57DB5FBF"/>
    <w:rsid w:val="5D3F048D"/>
    <w:rsid w:val="6C022DB1"/>
    <w:rsid w:val="7105198D"/>
    <w:rsid w:val="748F6002"/>
    <w:rsid w:val="7B9E72C2"/>
    <w:rsid w:val="7F7F829D"/>
    <w:rsid w:val="7FEE68E1"/>
    <w:rsid w:val="9FFE67E8"/>
    <w:rsid w:val="B6FFA0B1"/>
    <w:rsid w:val="BF7F4D34"/>
    <w:rsid w:val="EFBF10D7"/>
    <w:rsid w:val="FFDFE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4</Pages>
  <Words>281</Words>
  <Characters>1603</Characters>
  <Lines>13</Lines>
  <Paragraphs>3</Paragraphs>
  <TotalTime>9</TotalTime>
  <ScaleCrop>false</ScaleCrop>
  <LinksUpToDate>false</LinksUpToDate>
  <CharactersWithSpaces>1881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Administrator</dc:creator>
  <cp:lastModifiedBy>user</cp:lastModifiedBy>
  <dcterms:modified xsi:type="dcterms:W3CDTF">2023-05-24T16:56:31Z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