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集体建设用地使用权及建筑物、构筑物所有权</w:t>
      </w: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登记（注销登记）申请材料</w:t>
      </w:r>
    </w:p>
    <w:p>
      <w:pPr>
        <w:pStyle w:val="2"/>
        <w:rPr>
          <w:rFonts w:hint="eastAsia" w:ascii="华文仿宋" w:hAnsi="华文仿宋" w:eastAsia="华文仿宋" w:cs="华文仿宋"/>
          <w:sz w:val="32"/>
          <w:szCs w:val="32"/>
        </w:rPr>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因人民法院或者仲裁委员会生效法律文书导致权力消灭的，提交人民法院或仲裁委员会生效法律文书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依法没收、征收、收回集体建设用地使用权及建筑物、构筑物所有权的，提交人民政府生效的决定书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放弃集体建设用地使用权及建筑物、构筑物所有权的，提交权利人放弃国有建设用地使用权的书面文件。设有抵押权、地役权或被查封的，需提交抵押权人、地役权人、预告登记权利人或者查封机关同意注销的书面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土地或建筑物、构筑物灭失的，提交灭失材料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集体建设用地使用权及建筑物、构筑物所有权消灭的材料</w:t>
      </w:r>
      <w:r>
        <w:rPr>
          <w:rFonts w:hint="eastAsia" w:ascii="华文仿宋" w:hAnsi="华文仿宋" w:eastAsia="华文仿宋" w:cs="华文仿宋"/>
          <w:sz w:val="32"/>
          <w:szCs w:val="32"/>
          <w:lang w:eastAsia="zh-CN"/>
        </w:rPr>
        <w:t>。</w:t>
      </w:r>
    </w:p>
    <w:p>
      <w:pPr>
        <w:rPr>
          <w:rFonts w:hint="eastAsia" w:ascii="华文仿宋" w:hAnsi="华文仿宋" w:eastAsia="华文仿宋" w:cs="华文仿宋"/>
          <w:b/>
          <w:bCs/>
          <w:spacing w:val="-3"/>
          <w:sz w:val="32"/>
          <w:szCs w:val="32"/>
        </w:rPr>
      </w:pPr>
      <w:r>
        <w:rPr>
          <w:rFonts w:hint="eastAsia" w:ascii="华文仿宋" w:hAnsi="华文仿宋" w:eastAsia="华文仿宋" w:cs="华文仿宋"/>
          <w:sz w:val="32"/>
          <w:szCs w:val="32"/>
        </w:rPr>
        <w:t>　</w:t>
      </w:r>
      <w:r>
        <w:rPr>
          <w:rFonts w:hint="eastAsia" w:ascii="华文仿宋" w:hAnsi="华文仿宋" w:eastAsia="华文仿宋" w:cs="华文仿宋"/>
          <w:b/>
          <w:bCs/>
          <w:spacing w:val="-3"/>
          <w:sz w:val="32"/>
          <w:szCs w:val="32"/>
        </w:rPr>
        <w:t xml:space="preserve"> 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keepNext w:val="0"/>
        <w:keepLines w:val="0"/>
        <w:pageBreakBefore w:val="0"/>
        <w:widowControl w:val="0"/>
        <w:tabs>
          <w:tab w:val="left" w:pos="2477"/>
        </w:tabs>
        <w:kinsoku/>
        <w:wordWrap/>
        <w:overflowPunct/>
        <w:topLinePunct w:val="0"/>
        <w:autoSpaceDE w:val="0"/>
        <w:autoSpaceDN w:val="0"/>
        <w:bidi w:val="0"/>
        <w:adjustRightInd/>
        <w:snapToGrid/>
        <w:spacing w:before="32" w:line="400" w:lineRule="exact"/>
        <w:ind w:left="6" w:hanging="6"/>
        <w:jc w:val="center"/>
        <w:textAlignment w:val="auto"/>
        <w:rPr>
          <w:rFonts w:hint="eastAsia" w:ascii="宋体" w:hAnsi="宋体" w:cs="宋体"/>
          <w:b/>
          <w:bCs/>
          <w:spacing w:val="-3"/>
          <w:sz w:val="28"/>
          <w:szCs w:val="28"/>
        </w:rPr>
      </w:pPr>
      <w:r>
        <w:rPr>
          <w:rFonts w:hint="eastAsia" w:ascii="宋体" w:hAnsi="宋体" w:cs="宋体"/>
          <w:b/>
          <w:bCs/>
          <w:spacing w:val="-3"/>
          <w:sz w:val="28"/>
          <w:szCs w:val="28"/>
        </w:rPr>
        <w:t>集体建设用地使用权及建筑物、构筑物所有权登记（</w:t>
      </w:r>
      <w:r>
        <w:rPr>
          <w:rFonts w:hint="eastAsia" w:ascii="宋体" w:hAnsi="宋体" w:cs="宋体"/>
          <w:b/>
          <w:bCs/>
          <w:spacing w:val="-3"/>
          <w:sz w:val="28"/>
          <w:szCs w:val="28"/>
          <w:lang w:eastAsia="zh-CN"/>
        </w:rPr>
        <w:t>注销</w:t>
      </w:r>
      <w:bookmarkStart w:id="0" w:name="_GoBack"/>
      <w:bookmarkEnd w:id="0"/>
      <w:r>
        <w:rPr>
          <w:rFonts w:hint="eastAsia" w:ascii="宋体" w:hAnsi="宋体" w:cs="宋体"/>
          <w:b/>
          <w:bCs/>
          <w:spacing w:val="-3"/>
          <w:sz w:val="28"/>
          <w:szCs w:val="28"/>
        </w:rPr>
        <w:t>登记）</w:t>
      </w:r>
    </w:p>
    <w:p>
      <w:pPr>
        <w:keepNext w:val="0"/>
        <w:keepLines w:val="0"/>
        <w:pageBreakBefore w:val="0"/>
        <w:widowControl w:val="0"/>
        <w:tabs>
          <w:tab w:val="left" w:pos="2477"/>
        </w:tabs>
        <w:kinsoku/>
        <w:wordWrap/>
        <w:overflowPunct/>
        <w:topLinePunct w:val="0"/>
        <w:autoSpaceDE w:val="0"/>
        <w:autoSpaceDN w:val="0"/>
        <w:bidi w:val="0"/>
        <w:adjustRightInd/>
        <w:snapToGrid/>
        <w:spacing w:before="32" w:line="400" w:lineRule="exact"/>
        <w:ind w:left="6" w:hanging="6"/>
        <w:jc w:val="center"/>
        <w:textAlignment w:val="auto"/>
        <w:rPr>
          <w:rFonts w:ascii="宋体" w:hAnsi="宋体" w:cs="宋体"/>
          <w:b/>
          <w:bCs/>
          <w:sz w:val="28"/>
          <w:szCs w:val="28"/>
        </w:rPr>
      </w:pPr>
      <w:r>
        <w:rPr>
          <w:rFonts w:ascii="宋体" w:hAnsi="宋体" w:cs="宋体"/>
          <w:b/>
          <w:bCs/>
          <w:spacing w:val="-3"/>
          <w:sz w:val="28"/>
          <w:szCs w:val="28"/>
        </w:rPr>
        <w:t>申请材料</w:t>
      </w:r>
      <w:r>
        <w:rPr>
          <w:rFonts w:ascii="宋体" w:hAnsi="宋体" w:cs="宋体"/>
          <w:b/>
          <w:bCs/>
          <w:sz w:val="28"/>
          <w:szCs w:val="28"/>
        </w:rPr>
        <w:t>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841"/>
        <w:gridCol w:w="4213"/>
        <w:gridCol w:w="1012"/>
        <w:gridCol w:w="1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841"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213"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12"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48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 w:hRule="atLeast"/>
        </w:trPr>
        <w:tc>
          <w:tcPr>
            <w:tcW w:w="57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841"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841"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委托书</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488" w:type="dxa"/>
            <w:vMerge w:val="restart"/>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41"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488"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3</w:t>
            </w:r>
          </w:p>
        </w:tc>
        <w:tc>
          <w:tcPr>
            <w:tcW w:w="1841" w:type="dxa"/>
            <w:vAlign w:val="center"/>
          </w:tcPr>
          <w:p>
            <w:pPr>
              <w:tabs>
                <w:tab w:val="left" w:pos="312"/>
              </w:tabs>
              <w:adjustRightInd w:val="0"/>
              <w:snapToGrid w:val="0"/>
              <w:spacing w:line="400" w:lineRule="atLeast"/>
              <w:jc w:val="both"/>
              <w:rPr>
                <w:rFonts w:hint="eastAsia" w:ascii="华文仿宋" w:hAnsi="华文仿宋" w:eastAsia="华文仿宋" w:cs="华文仿宋"/>
                <w:color w:val="000000"/>
                <w:kern w:val="0"/>
                <w:sz w:val="21"/>
                <w:szCs w:val="21"/>
              </w:rPr>
            </w:pPr>
            <w:r>
              <w:rPr>
                <w:rFonts w:hint="eastAsia" w:ascii="华文仿宋" w:hAnsi="华文仿宋" w:eastAsia="华文仿宋" w:cs="华文仿宋"/>
                <w:sz w:val="21"/>
                <w:szCs w:val="21"/>
              </w:rPr>
              <w:t>中华人民共和国不动产权证书</w:t>
            </w:r>
          </w:p>
        </w:tc>
        <w:tc>
          <w:tcPr>
            <w:tcW w:w="4213"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集体土地使用证，房屋所有权或房地产权证或不动产权证书，共有的建筑物、构筑物还应提交其他共有证等。</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lang w:eastAsia="en-US"/>
              </w:rPr>
              <w:t>原件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p>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2" w:hRule="atLeast"/>
        </w:trPr>
        <w:tc>
          <w:tcPr>
            <w:tcW w:w="570"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rPr>
            </w:pPr>
          </w:p>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841"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土地或建筑物、构筑物灭失材料</w:t>
            </w: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灭失的证明材料。</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w w:val="95"/>
                <w:sz w:val="21"/>
                <w:szCs w:val="21"/>
              </w:rPr>
              <w:t>土地或建筑物、构筑物</w:t>
            </w:r>
            <w:r>
              <w:rPr>
                <w:rFonts w:hint="eastAsia" w:ascii="华文仿宋" w:hAnsi="华文仿宋" w:eastAsia="华文仿宋" w:cs="华文仿宋"/>
                <w:sz w:val="21"/>
                <w:szCs w:val="21"/>
              </w:rPr>
              <w:t>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2"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841"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权利人放弃国有建设用地使用权的书面文件。设有抵押权、地役权或被查封的，需提交抵押权人、地役权人、预告登记权利人或者查封机关同意注销的书面文件</w:t>
            </w: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权利人放弃权利的书面文件。设有抵押权、地役权或已经办理预告登记、查封登记的，需提交抵押权人、地役权人或查封机关同意注销的书面材料。</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88"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权利人放弃集体建设用地使用权及建筑物构筑物所有权的提交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841"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人民政府生效的决定书</w:t>
            </w: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人民政府的生效决定书。</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88" w:type="dxa"/>
            <w:vAlign w:val="center"/>
          </w:tcPr>
          <w:p>
            <w:pPr>
              <w:pStyle w:val="8"/>
              <w:spacing w:before="43" w:line="292" w:lineRule="auto"/>
              <w:ind w:left="14" w:right="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pacing w:val="-8"/>
                <w:sz w:val="21"/>
                <w:szCs w:val="21"/>
                <w:lang w:eastAsia="zh-CN"/>
              </w:rPr>
              <w:t>依法没收、征收、收回</w:t>
            </w:r>
            <w:r>
              <w:rPr>
                <w:rFonts w:hint="eastAsia" w:ascii="华文仿宋" w:hAnsi="华文仿宋" w:eastAsia="华文仿宋" w:cs="华文仿宋"/>
                <w:spacing w:val="15"/>
                <w:sz w:val="21"/>
                <w:szCs w:val="21"/>
                <w:lang w:eastAsia="zh-CN"/>
              </w:rPr>
              <w:t>集体建设用地使用权</w:t>
            </w:r>
            <w:r>
              <w:rPr>
                <w:rFonts w:hint="eastAsia" w:ascii="华文仿宋" w:hAnsi="华文仿宋" w:eastAsia="华文仿宋" w:cs="华文仿宋"/>
                <w:w w:val="95"/>
                <w:sz w:val="21"/>
                <w:szCs w:val="21"/>
                <w:lang w:eastAsia="zh-CN"/>
              </w:rPr>
              <w:t>及建筑物、构筑物所有</w:t>
            </w:r>
            <w:r>
              <w:rPr>
                <w:rFonts w:hint="eastAsia" w:ascii="华文仿宋" w:hAnsi="华文仿宋" w:eastAsia="华文仿宋" w:cs="华文仿宋"/>
                <w:sz w:val="21"/>
                <w:szCs w:val="21"/>
                <w:lang w:eastAsia="zh-CN"/>
              </w:rPr>
              <w:t>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2"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841"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人民法院或者仲裁委员会生效法律文书，协助执行通知书。</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488" w:type="dxa"/>
            <w:vAlign w:val="center"/>
          </w:tcPr>
          <w:p>
            <w:pPr>
              <w:pStyle w:val="8"/>
              <w:spacing w:before="43" w:line="292" w:lineRule="auto"/>
              <w:ind w:left="14" w:right="5"/>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lang w:eastAsia="zh-CN"/>
              </w:rPr>
              <w:t>因人民法院或者仲裁委员会生效法律文书等导致集体建设用地</w:t>
            </w:r>
            <w:r>
              <w:rPr>
                <w:rFonts w:hint="eastAsia" w:ascii="华文仿宋" w:hAnsi="华文仿宋" w:eastAsia="华文仿宋" w:cs="华文仿宋"/>
                <w:w w:val="95"/>
                <w:sz w:val="21"/>
                <w:szCs w:val="21"/>
                <w:lang w:eastAsia="zh-CN"/>
              </w:rPr>
              <w:t>使用权及建筑物、构筑</w:t>
            </w:r>
          </w:p>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物所有权消灭的提交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7" w:hRule="atLeast"/>
        </w:trPr>
        <w:tc>
          <w:tcPr>
            <w:tcW w:w="57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841" w:type="dxa"/>
            <w:tcBorders>
              <w:top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集体建设用地使用权及建筑物、构筑物所有权消灭的材料</w:t>
            </w:r>
          </w:p>
        </w:tc>
        <w:tc>
          <w:tcPr>
            <w:tcW w:w="4213"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集体建设用地使用权及建筑物、构筑物所有权消灭的材料。</w:t>
            </w:r>
          </w:p>
        </w:tc>
        <w:tc>
          <w:tcPr>
            <w:tcW w:w="1012"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488" w:type="dxa"/>
            <w:vAlign w:val="center"/>
          </w:tcPr>
          <w:p>
            <w:pPr>
              <w:autoSpaceDE w:val="0"/>
              <w:autoSpaceDN w:val="0"/>
              <w:adjustRightInd w:val="0"/>
              <w:snapToGrid w:val="0"/>
              <w:jc w:val="both"/>
              <w:rPr>
                <w:rFonts w:hint="eastAsia" w:ascii="华文仿宋" w:hAnsi="华文仿宋" w:eastAsia="华文仿宋" w:cs="华文仿宋"/>
                <w:sz w:val="21"/>
                <w:szCs w:val="21"/>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ilvl w:val="0"/>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tabs>
          <w:tab w:val="left" w:pos="312"/>
        </w:tabs>
        <w:rPr>
          <w:rFonts w:ascii="宋体" w:hAnsi="宋体" w:cs="宋体"/>
          <w:color w:val="FF0000"/>
          <w:sz w:val="24"/>
        </w:rPr>
      </w:pPr>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ExYjc3YTZkNjU1NTY3NTQ2MjdjYmQ5NWZlMDYzZTQifQ=="/>
  </w:docVars>
  <w:rsids>
    <w:rsidRoot w:val="00922C87"/>
    <w:rsid w:val="00071A85"/>
    <w:rsid w:val="000C54B0"/>
    <w:rsid w:val="00183091"/>
    <w:rsid w:val="00192024"/>
    <w:rsid w:val="001D6FB2"/>
    <w:rsid w:val="00264EFD"/>
    <w:rsid w:val="003B754B"/>
    <w:rsid w:val="004C0AE9"/>
    <w:rsid w:val="004F5B6A"/>
    <w:rsid w:val="005274C6"/>
    <w:rsid w:val="005746AE"/>
    <w:rsid w:val="00690556"/>
    <w:rsid w:val="007175D7"/>
    <w:rsid w:val="00746365"/>
    <w:rsid w:val="00763311"/>
    <w:rsid w:val="00785FB7"/>
    <w:rsid w:val="007D3C7D"/>
    <w:rsid w:val="00807589"/>
    <w:rsid w:val="00876993"/>
    <w:rsid w:val="00922C87"/>
    <w:rsid w:val="00A16D61"/>
    <w:rsid w:val="00A24C66"/>
    <w:rsid w:val="00A377EB"/>
    <w:rsid w:val="00AB16DB"/>
    <w:rsid w:val="00AC44C5"/>
    <w:rsid w:val="00B44C5C"/>
    <w:rsid w:val="00B87458"/>
    <w:rsid w:val="00B942D8"/>
    <w:rsid w:val="00C17697"/>
    <w:rsid w:val="00C810FC"/>
    <w:rsid w:val="00D94524"/>
    <w:rsid w:val="00E13FC3"/>
    <w:rsid w:val="0FD5606D"/>
    <w:rsid w:val="4ED40086"/>
    <w:rsid w:val="574F6FB0"/>
    <w:rsid w:val="5BFDCDD1"/>
    <w:rsid w:val="5D3F048D"/>
    <w:rsid w:val="677FF003"/>
    <w:rsid w:val="6BFF0F47"/>
    <w:rsid w:val="6C022DB1"/>
    <w:rsid w:val="7105198D"/>
    <w:rsid w:val="748F6002"/>
    <w:rsid w:val="79FFD462"/>
    <w:rsid w:val="7FFD0129"/>
    <w:rsid w:val="BF7F4D34"/>
    <w:rsid w:val="F7E73EBD"/>
    <w:rsid w:val="FDEF0A43"/>
    <w:rsid w:val="FE57C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228</Words>
  <Characters>1304</Characters>
  <Lines>10</Lines>
  <Paragraphs>3</Paragraphs>
  <TotalTime>8</TotalTime>
  <ScaleCrop>false</ScaleCrop>
  <LinksUpToDate>false</LinksUpToDate>
  <CharactersWithSpaces>1529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2023-04-02T10:15:00Z</dcterms:created>
  <dc:creator>Administrator</dc:creator>
  <cp:lastModifiedBy>user</cp:lastModifiedBy>
  <dcterms:modified xsi:type="dcterms:W3CDTF">2023-05-24T16:52:35Z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