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17BAE"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《汕头市韶山路与龙江路东南侧片区控制性详细规划</w:t>
      </w:r>
    </w:p>
    <w:p w14:paraId="564D87F5">
      <w:pPr>
        <w:jc w:val="center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（LH-00402控制单元）》简介</w:t>
      </w:r>
    </w:p>
    <w:p w14:paraId="498BEF6E">
      <w:pPr>
        <w:pStyle w:val="6"/>
        <w:numPr>
          <w:numId w:val="0"/>
        </w:numPr>
        <w:tabs>
          <w:tab w:val="left" w:pos="996"/>
          <w:tab w:val="left" w:pos="1494"/>
          <w:tab w:val="clear" w:pos="1134"/>
        </w:tabs>
        <w:spacing w:before="156" w:after="156"/>
        <w:ind w:left="-482" w:leftChars="0" w:firstLine="482" w:firstLineChars="0"/>
        <w:rPr>
          <w:b/>
          <w:bCs/>
        </w:rPr>
      </w:pPr>
      <w:r>
        <w:rPr>
          <w:rFonts w:hint="default" w:ascii="黑体" w:hAnsi="宋体" w:eastAsia="黑体" w:cstheme="minorBidi"/>
          <w:b/>
          <w:bCs/>
          <w:kern w:val="2"/>
          <w:sz w:val="24"/>
          <w:szCs w:val="24"/>
          <w:lang w:val="en-US" w:eastAsia="zh-CN" w:bidi="ar-SA"/>
        </w:rPr>
        <w:t>第一条</w:t>
      </w:r>
      <w:r>
        <w:rPr>
          <w:rFonts w:hint="eastAsia" w:ascii="黑体" w:eastAsia="黑体" w:cstheme="minorBidi"/>
          <w:b/>
          <w:bCs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/>
          <w:b/>
          <w:bCs/>
        </w:rPr>
        <w:t>规划范围</w:t>
      </w:r>
    </w:p>
    <w:p w14:paraId="5D52958D">
      <w:pPr>
        <w:pStyle w:val="6"/>
        <w:numPr>
          <w:ilvl w:val="0"/>
          <w:numId w:val="0"/>
        </w:numPr>
        <w:tabs>
          <w:tab w:val="left" w:pos="996"/>
          <w:tab w:val="left" w:pos="1494"/>
        </w:tabs>
        <w:spacing w:before="312" w:beforeLines="100" w:after="312" w:afterLines="100"/>
        <w:ind w:firstLine="420" w:firstLineChars="200"/>
        <w:rPr>
          <w:rFonts w:ascii="等线" w:hAnsi="等线" w:eastAsia="等线" w:cs="等线"/>
          <w:snapToGrid w:val="0"/>
          <w:kern w:val="0"/>
          <w:sz w:val="21"/>
          <w:szCs w:val="22"/>
        </w:rPr>
      </w:pPr>
      <w:r>
        <w:rPr>
          <w:rFonts w:hint="eastAsia" w:ascii="等线" w:hAnsi="等线" w:eastAsia="等线" w:cs="等线"/>
          <w:snapToGrid w:val="0"/>
          <w:kern w:val="0"/>
          <w:sz w:val="21"/>
          <w:szCs w:val="22"/>
        </w:rPr>
        <w:t>规划范围为东至新津河，西至韶山路，南至漓江路，北至龙江路，总用地面积</w:t>
      </w:r>
      <w:r>
        <w:rPr>
          <w:rFonts w:ascii="等线" w:hAnsi="等线" w:eastAsia="等线" w:cs="等线"/>
          <w:snapToGrid w:val="0"/>
          <w:kern w:val="0"/>
          <w:sz w:val="21"/>
          <w:szCs w:val="22"/>
        </w:rPr>
        <w:t xml:space="preserve">67.80 </w:t>
      </w:r>
      <w:r>
        <w:rPr>
          <w:rFonts w:hint="eastAsia" w:ascii="等线" w:hAnsi="等线" w:eastAsia="等线" w:cs="等线"/>
          <w:snapToGrid w:val="0"/>
          <w:kern w:val="0"/>
          <w:sz w:val="21"/>
          <w:szCs w:val="22"/>
        </w:rPr>
        <w:t>公顷。</w:t>
      </w:r>
    </w:p>
    <w:p w14:paraId="309F145D">
      <w:pPr>
        <w:pStyle w:val="6"/>
        <w:numPr>
          <w:numId w:val="0"/>
        </w:numPr>
        <w:tabs>
          <w:tab w:val="left" w:pos="996"/>
          <w:tab w:val="left" w:pos="1494"/>
          <w:tab w:val="clear" w:pos="1134"/>
        </w:tabs>
        <w:spacing w:before="156" w:after="156"/>
        <w:ind w:left="-482" w:leftChars="0" w:firstLine="482" w:firstLineChars="0"/>
        <w:rPr>
          <w:b/>
          <w:bCs/>
        </w:rPr>
      </w:pPr>
      <w:r>
        <w:rPr>
          <w:rFonts w:hint="default" w:ascii="黑体" w:hAnsi="宋体" w:eastAsia="黑体" w:cstheme="minorBidi"/>
          <w:b/>
          <w:bCs/>
          <w:kern w:val="2"/>
          <w:sz w:val="24"/>
          <w:szCs w:val="24"/>
          <w:lang w:val="en-US" w:eastAsia="zh-CN" w:bidi="ar-SA"/>
        </w:rPr>
        <w:t>第二条</w:t>
      </w:r>
      <w:r>
        <w:rPr>
          <w:rFonts w:hint="eastAsia" w:ascii="黑体" w:eastAsia="黑体" w:cstheme="minorBidi"/>
          <w:b/>
          <w:bCs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/>
          <w:b/>
          <w:bCs/>
        </w:rPr>
        <w:t>规划定位</w:t>
      </w:r>
    </w:p>
    <w:p w14:paraId="101F2B25">
      <w:pPr>
        <w:pStyle w:val="6"/>
        <w:numPr>
          <w:ilvl w:val="0"/>
          <w:numId w:val="0"/>
        </w:numPr>
        <w:tabs>
          <w:tab w:val="left" w:pos="996"/>
          <w:tab w:val="left" w:pos="1494"/>
        </w:tabs>
        <w:spacing w:before="312" w:beforeLines="100" w:after="312" w:afterLines="100"/>
        <w:ind w:firstLine="420" w:firstLineChars="200"/>
        <w:rPr>
          <w:rFonts w:ascii="等线" w:hAnsi="等线" w:eastAsia="等线" w:cs="等线"/>
          <w:snapToGrid w:val="0"/>
          <w:kern w:val="0"/>
          <w:sz w:val="21"/>
          <w:szCs w:val="22"/>
        </w:rPr>
      </w:pPr>
      <w:r>
        <w:rPr>
          <w:rFonts w:hint="eastAsia" w:ascii="等线" w:hAnsi="等线" w:eastAsia="等线" w:cs="等线"/>
          <w:snapToGrid w:val="0"/>
          <w:kern w:val="0"/>
          <w:sz w:val="21"/>
          <w:szCs w:val="22"/>
        </w:rPr>
        <w:t>规划功能定位为龙湖区万吉工业区东拓区的重要组成部分，以住宅用地和一类工业用地为主、配套齐全的产城融合社区。</w:t>
      </w:r>
    </w:p>
    <w:p w14:paraId="150C736D">
      <w:pPr>
        <w:pStyle w:val="6"/>
        <w:numPr>
          <w:numId w:val="0"/>
        </w:numPr>
        <w:tabs>
          <w:tab w:val="left" w:pos="996"/>
          <w:tab w:val="left" w:pos="1494"/>
          <w:tab w:val="clear" w:pos="1134"/>
        </w:tabs>
        <w:spacing w:before="156" w:after="156"/>
        <w:ind w:left="-482" w:leftChars="0" w:firstLine="482" w:firstLineChars="0"/>
        <w:rPr>
          <w:b/>
          <w:bCs/>
        </w:rPr>
      </w:pPr>
      <w:r>
        <w:rPr>
          <w:rFonts w:hint="default" w:ascii="黑体" w:hAnsi="宋体" w:eastAsia="黑体" w:cstheme="minorBidi"/>
          <w:b/>
          <w:bCs/>
          <w:kern w:val="2"/>
          <w:sz w:val="24"/>
          <w:szCs w:val="24"/>
          <w:lang w:val="en-US" w:eastAsia="zh-CN" w:bidi="ar-SA"/>
        </w:rPr>
        <w:t>第三条</w:t>
      </w:r>
      <w:r>
        <w:rPr>
          <w:rFonts w:hint="eastAsia" w:ascii="黑体" w:eastAsia="黑体" w:cstheme="minorBidi"/>
          <w:b/>
          <w:bCs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/>
          <w:b/>
          <w:bCs/>
        </w:rPr>
        <w:t>发展规模</w:t>
      </w:r>
    </w:p>
    <w:p w14:paraId="79B5D82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96"/>
          <w:tab w:val="left" w:pos="1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Lines="0"/>
        <w:ind w:firstLine="420" w:firstLineChars="200"/>
        <w:textAlignment w:val="auto"/>
        <w:rPr>
          <w:rFonts w:hint="eastAsia" w:ascii="等线" w:hAnsi="等线" w:eastAsia="等线" w:cs="等线"/>
          <w:snapToGrid w:val="0"/>
          <w:kern w:val="0"/>
          <w:sz w:val="21"/>
          <w:szCs w:val="22"/>
        </w:rPr>
      </w:pPr>
      <w:r>
        <w:rPr>
          <w:rFonts w:hint="eastAsia" w:ascii="等线" w:hAnsi="等线" w:eastAsia="等线" w:cs="等线"/>
          <w:snapToGrid w:val="0"/>
          <w:kern w:val="0"/>
          <w:sz w:val="21"/>
          <w:szCs w:val="22"/>
        </w:rPr>
        <w:t>规划区总用地面积67.80公顷，其中城镇建设用地30.17 公顷。住宅用地3.47公顷，一类工业用地面积8.74公顷。</w:t>
      </w:r>
    </w:p>
    <w:p w14:paraId="048C16FC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96"/>
          <w:tab w:val="left" w:pos="1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312" w:afterLines="100"/>
        <w:ind w:firstLine="420" w:firstLineChars="200"/>
        <w:textAlignment w:val="auto"/>
        <w:rPr>
          <w:rFonts w:hint="eastAsia" w:ascii="等线" w:hAnsi="等线" w:eastAsia="等线" w:cs="等线"/>
          <w:snapToGrid w:val="0"/>
          <w:kern w:val="0"/>
          <w:sz w:val="21"/>
          <w:szCs w:val="22"/>
        </w:rPr>
      </w:pPr>
      <w:r>
        <w:rPr>
          <w:rFonts w:hint="eastAsia" w:ascii="等线" w:hAnsi="等线" w:eastAsia="等线" w:cs="等线"/>
          <w:snapToGrid w:val="0"/>
          <w:kern w:val="0"/>
          <w:sz w:val="21"/>
          <w:szCs w:val="22"/>
        </w:rPr>
        <w:t>根据有关法规、规章、技术规范及市政府相关文件，经测算</w:t>
      </w:r>
      <w:bookmarkStart w:id="0" w:name="_GoBack"/>
      <w:bookmarkEnd w:id="0"/>
      <w:r>
        <w:rPr>
          <w:rFonts w:hint="eastAsia" w:ascii="等线" w:hAnsi="等线" w:eastAsia="等线" w:cs="等线"/>
          <w:snapToGrid w:val="0"/>
          <w:kern w:val="0"/>
          <w:sz w:val="21"/>
          <w:szCs w:val="22"/>
        </w:rPr>
        <w:t>居住人口约0.29万人。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7E2C8B"/>
    <w:multiLevelType w:val="multilevel"/>
    <w:tmpl w:val="717E2C8B"/>
    <w:lvl w:ilvl="0" w:tentative="0">
      <w:start w:val="1"/>
      <w:numFmt w:val="chineseCountingThousand"/>
      <w:pStyle w:val="6"/>
      <w:lvlText w:val="第%1条"/>
      <w:lvlJc w:val="left"/>
      <w:pPr>
        <w:tabs>
          <w:tab w:val="left" w:pos="1134"/>
        </w:tabs>
        <w:ind w:left="-482" w:firstLine="0"/>
      </w:pPr>
      <w:rPr>
        <w:rFonts w:hint="default" w:ascii="黑体" w:eastAsia="黑体"/>
        <w:b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298" w:hanging="360"/>
      </w:pPr>
      <w:rPr>
        <w:rFonts w:hint="default"/>
        <w:b/>
      </w:rPr>
    </w:lvl>
    <w:lvl w:ilvl="2" w:tentative="0">
      <w:start w:val="1"/>
      <w:numFmt w:val="decimal"/>
      <w:lvlText w:val="%3."/>
      <w:lvlJc w:val="left"/>
      <w:pPr>
        <w:tabs>
          <w:tab w:val="left" w:pos="1260"/>
        </w:tabs>
        <w:ind w:left="778" w:hanging="42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055"/>
        </w:tabs>
        <w:ind w:left="1573" w:hanging="795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161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038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45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287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2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4OWYwNGU3YzhjMDcyNDViODRjNjIxMzUzYjAyNmUifQ=="/>
  </w:docVars>
  <w:rsids>
    <w:rsidRoot w:val="00E60CF0"/>
    <w:rsid w:val="000C2AD7"/>
    <w:rsid w:val="00235E3E"/>
    <w:rsid w:val="004A4919"/>
    <w:rsid w:val="005325AC"/>
    <w:rsid w:val="0054011B"/>
    <w:rsid w:val="00590889"/>
    <w:rsid w:val="00795783"/>
    <w:rsid w:val="00884B51"/>
    <w:rsid w:val="00B07298"/>
    <w:rsid w:val="00BE1B6E"/>
    <w:rsid w:val="00C17DCB"/>
    <w:rsid w:val="00C358FF"/>
    <w:rsid w:val="00D65F33"/>
    <w:rsid w:val="00D66DE7"/>
    <w:rsid w:val="00DB165A"/>
    <w:rsid w:val="00E37134"/>
    <w:rsid w:val="00E60CF0"/>
    <w:rsid w:val="06CA1688"/>
    <w:rsid w:val="101117BF"/>
    <w:rsid w:val="1BF831BE"/>
    <w:rsid w:val="24F1355E"/>
    <w:rsid w:val="3FB01EAB"/>
    <w:rsid w:val="4FD65CC5"/>
    <w:rsid w:val="7859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文本条文"/>
    <w:next w:val="7"/>
    <w:qFormat/>
    <w:uiPriority w:val="0"/>
    <w:pPr>
      <w:numPr>
        <w:ilvl w:val="0"/>
        <w:numId w:val="1"/>
      </w:numPr>
      <w:spacing w:beforeLines="50" w:afterLines="50"/>
      <w:jc w:val="both"/>
      <w:outlineLvl w:val="2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7">
    <w:name w:val="文本正文"/>
    <w:basedOn w:val="6"/>
    <w:qFormat/>
    <w:uiPriority w:val="99"/>
    <w:pPr>
      <w:widowControl w:val="0"/>
      <w:numPr>
        <w:numId w:val="0"/>
      </w:numPr>
      <w:spacing w:before="50" w:after="50"/>
      <w:outlineLvl w:val="9"/>
    </w:pPr>
    <w:rPr>
      <w:rFonts w:eastAsia="宋体" w:cs="Times New Roman"/>
    </w:rPr>
  </w:style>
  <w:style w:type="character" w:customStyle="1" w:styleId="8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338</Characters>
  <Lines>2</Lines>
  <Paragraphs>1</Paragraphs>
  <TotalTime>21</TotalTime>
  <ScaleCrop>false</ScaleCrop>
  <LinksUpToDate>false</LinksUpToDate>
  <CharactersWithSpaces>341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2023-11-27T01:42:00Z</dcterms:created>
  <dc:creator>admin</dc:creator>
  <cp:lastModifiedBy>ynnb</cp:lastModifiedBy>
  <dcterms:modified xsi:type="dcterms:W3CDTF">2024-12-12T07:32:34Z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E08DA46902BB4F9C91657A673116C16E_12</vt:lpwstr>
  </property>
</Properties>
</file>