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30"/>
          <w:szCs w:val="30"/>
          <w:lang w:val="en-US" w:eastAsia="zh-CN"/>
        </w:rPr>
      </w:pPr>
    </w:p>
    <w:p>
      <w:pPr>
        <w:jc w:val="center"/>
        <w:rPr>
          <w:rFonts w:hint="eastAsia"/>
          <w:b/>
          <w:sz w:val="44"/>
          <w:lang w:val="en-US" w:eastAsia="zh-CN"/>
        </w:rPr>
      </w:pPr>
      <w:r>
        <w:rPr>
          <w:rFonts w:hint="eastAsia"/>
          <w:b/>
          <w:sz w:val="44"/>
          <w:lang w:eastAsia="zh-CN"/>
        </w:rPr>
        <w:t>“</w:t>
      </w:r>
      <w:r>
        <w:rPr>
          <w:rFonts w:hint="eastAsia"/>
          <w:b/>
          <w:sz w:val="44"/>
          <w:lang w:val="en-US" w:eastAsia="zh-CN"/>
        </w:rPr>
        <w:t>实验室6S规范化管理</w:t>
      </w:r>
      <w:r>
        <w:rPr>
          <w:rFonts w:hint="eastAsia"/>
          <w:b/>
          <w:sz w:val="44"/>
          <w:lang w:eastAsia="zh-CN"/>
        </w:rPr>
        <w:t>”</w:t>
      </w:r>
      <w:r>
        <w:rPr>
          <w:rFonts w:hint="eastAsia"/>
          <w:b/>
          <w:sz w:val="44"/>
          <w:lang w:val="en-US" w:eastAsia="zh-CN"/>
        </w:rPr>
        <w:t>服务项目</w:t>
      </w:r>
    </w:p>
    <w:p>
      <w:pPr>
        <w:jc w:val="center"/>
        <w:rPr>
          <w:rFonts w:hint="default"/>
          <w:b/>
          <w:sz w:val="44"/>
          <w:lang w:val="en-US"/>
        </w:rPr>
      </w:pPr>
      <w:r>
        <w:rPr>
          <w:rFonts w:hint="eastAsia"/>
          <w:b/>
          <w:sz w:val="44"/>
          <w:lang w:val="en-US" w:eastAsia="zh-CN"/>
        </w:rPr>
        <w:t>工作内容及具体要求</w:t>
      </w:r>
    </w:p>
    <w:tbl>
      <w:tblPr>
        <w:tblStyle w:val="10"/>
        <w:tblpPr w:leftFromText="180" w:rightFromText="180" w:vertAnchor="text" w:horzAnchor="page" w:tblpXSpec="center" w:tblpY="617"/>
        <w:tblOverlap w:val="never"/>
        <w:tblW w:w="9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71"/>
        <w:gridCol w:w="6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16" w:type="dxa"/>
            <w:vAlign w:val="center"/>
          </w:tcPr>
          <w:p>
            <w:pPr>
              <w:jc w:val="both"/>
              <w:rPr>
                <w:rFonts w:ascii="仿宋" w:hAnsi="仿宋" w:eastAsia="仿宋" w:cs="楷体"/>
                <w:sz w:val="32"/>
                <w:szCs w:val="32"/>
              </w:rPr>
            </w:pPr>
          </w:p>
        </w:tc>
        <w:tc>
          <w:tcPr>
            <w:tcW w:w="2271" w:type="dxa"/>
            <w:vAlign w:val="center"/>
          </w:tcPr>
          <w:p>
            <w:pPr>
              <w:jc w:val="center"/>
              <w:rPr>
                <w:rFonts w:ascii="仿宋" w:hAnsi="仿宋" w:eastAsia="仿宋" w:cs="楷体"/>
                <w:sz w:val="32"/>
                <w:szCs w:val="32"/>
              </w:rPr>
            </w:pPr>
            <w:r>
              <w:rPr>
                <w:rFonts w:hint="eastAsia" w:ascii="仿宋" w:hAnsi="仿宋" w:eastAsia="仿宋" w:cs="楷体"/>
                <w:sz w:val="32"/>
                <w:szCs w:val="32"/>
              </w:rPr>
              <w:t>类别</w:t>
            </w:r>
          </w:p>
        </w:tc>
        <w:tc>
          <w:tcPr>
            <w:tcW w:w="6285" w:type="dxa"/>
            <w:vAlign w:val="center"/>
          </w:tcPr>
          <w:p>
            <w:pPr>
              <w:jc w:val="center"/>
              <w:rPr>
                <w:rFonts w:hint="default" w:ascii="仿宋" w:hAnsi="仿宋" w:eastAsia="仿宋" w:cs="楷体"/>
                <w:sz w:val="32"/>
                <w:szCs w:val="32"/>
                <w:lang w:val="en-US" w:eastAsia="zh-CN"/>
              </w:rPr>
            </w:pPr>
            <w:r>
              <w:rPr>
                <w:rFonts w:hint="eastAsia" w:ascii="仿宋" w:hAnsi="仿宋" w:eastAsia="仿宋" w:cs="仿宋"/>
                <w:sz w:val="32"/>
                <w:szCs w:val="32"/>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6" w:type="dxa"/>
            <w:vAlign w:val="center"/>
          </w:tcPr>
          <w:p>
            <w:pPr>
              <w:jc w:val="center"/>
              <w:rPr>
                <w:rFonts w:ascii="仿宋" w:hAnsi="仿宋" w:eastAsia="仿宋" w:cs="楷体"/>
                <w:sz w:val="32"/>
                <w:szCs w:val="32"/>
              </w:rPr>
            </w:pPr>
            <w:r>
              <w:rPr>
                <w:rFonts w:hint="eastAsia" w:ascii="仿宋" w:hAnsi="仿宋" w:eastAsia="仿宋" w:cs="楷体"/>
                <w:sz w:val="32"/>
                <w:szCs w:val="32"/>
              </w:rPr>
              <w:t>1</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名称</w:t>
            </w:r>
          </w:p>
        </w:tc>
        <w:tc>
          <w:tcPr>
            <w:tcW w:w="6285" w:type="dxa"/>
            <w:vAlign w:val="center"/>
          </w:tcPr>
          <w:p>
            <w:pPr>
              <w:spacing w:beforeLines="0" w:afterLines="0"/>
              <w:jc w:val="left"/>
              <w:rPr>
                <w:rFonts w:hint="eastAsia" w:ascii="宋体" w:hAnsi="宋体" w:eastAsia="宋体"/>
                <w:color w:val="000000"/>
                <w:sz w:val="24"/>
              </w:rPr>
            </w:pPr>
            <w:r>
              <w:rPr>
                <w:rFonts w:hint="eastAsia" w:ascii="仿宋" w:hAnsi="仿宋" w:eastAsia="仿宋" w:cs="楷体"/>
                <w:sz w:val="32"/>
                <w:szCs w:val="32"/>
                <w:lang w:val="en-US" w:eastAsia="zh-CN"/>
              </w:rPr>
              <w:t>广东省汕头生态环境监测中心站</w:t>
            </w:r>
          </w:p>
          <w:p>
            <w:pPr>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实验室6S规范化管理服务项目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jc w:val="center"/>
        </w:trPr>
        <w:tc>
          <w:tcPr>
            <w:tcW w:w="716" w:type="dxa"/>
            <w:vAlign w:val="center"/>
          </w:tcPr>
          <w:p>
            <w:pPr>
              <w:jc w:val="center"/>
              <w:rPr>
                <w:rFonts w:ascii="仿宋" w:hAnsi="仿宋" w:eastAsia="仿宋" w:cs="楷体"/>
                <w:sz w:val="32"/>
                <w:szCs w:val="32"/>
              </w:rPr>
            </w:pPr>
            <w:r>
              <w:rPr>
                <w:rFonts w:hint="eastAsia" w:ascii="仿宋" w:hAnsi="仿宋" w:eastAsia="仿宋" w:cs="楷体"/>
                <w:sz w:val="32"/>
                <w:szCs w:val="32"/>
              </w:rPr>
              <w:t>2</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项目业主情况</w:t>
            </w:r>
          </w:p>
        </w:tc>
        <w:tc>
          <w:tcPr>
            <w:tcW w:w="6285" w:type="dxa"/>
            <w:vAlign w:val="center"/>
          </w:tcPr>
          <w:p>
            <w:pPr>
              <w:rPr>
                <w:rFonts w:ascii="仿宋" w:hAnsi="仿宋" w:eastAsia="仿宋" w:cs="楷体"/>
                <w:sz w:val="32"/>
                <w:szCs w:val="32"/>
              </w:rPr>
            </w:pPr>
            <w:r>
              <w:rPr>
                <w:rFonts w:hint="eastAsia" w:ascii="仿宋" w:hAnsi="仿宋" w:eastAsia="仿宋" w:cs="楷体"/>
                <w:sz w:val="32"/>
                <w:szCs w:val="32"/>
                <w:lang w:val="en-US" w:eastAsia="zh-CN"/>
              </w:rPr>
              <w:t>广东省汕头生态环境监测中心站</w:t>
            </w:r>
            <w:r>
              <w:rPr>
                <w:rFonts w:hint="eastAsia" w:ascii="仿宋" w:hAnsi="仿宋" w:eastAsia="仿宋" w:cs="楷体"/>
                <w:sz w:val="32"/>
                <w:szCs w:val="32"/>
              </w:rPr>
              <w:t>、</w:t>
            </w:r>
            <w:r>
              <w:rPr>
                <w:rFonts w:hint="eastAsia" w:ascii="仿宋" w:hAnsi="仿宋" w:eastAsia="仿宋" w:cs="楷体"/>
                <w:sz w:val="32"/>
                <w:szCs w:val="32"/>
                <w:lang w:val="en-US" w:eastAsia="zh-CN"/>
              </w:rPr>
              <w:t>广东省汕头市泰山路9号</w:t>
            </w:r>
            <w:r>
              <w:rPr>
                <w:rFonts w:hint="eastAsia" w:ascii="仿宋" w:hAnsi="仿宋" w:eastAsia="仿宋" w:cs="楷体"/>
                <w:sz w:val="32"/>
                <w:szCs w:val="32"/>
              </w:rPr>
              <w:t>、</w:t>
            </w:r>
            <w:r>
              <w:rPr>
                <w:rFonts w:hint="eastAsia" w:ascii="仿宋" w:hAnsi="仿宋" w:eastAsia="仿宋" w:cs="仿宋"/>
                <w:sz w:val="30"/>
                <w:szCs w:val="30"/>
                <w:lang w:val="en-US" w:eastAsia="zh-CN"/>
              </w:rPr>
              <w:t>0754-88844255</w:t>
            </w:r>
            <w:r>
              <w:rPr>
                <w:rFonts w:hint="eastAsia" w:ascii="仿宋" w:hAnsi="仿宋" w:eastAsia="仿宋" w:cs="楷体"/>
                <w:sz w:val="32"/>
                <w:szCs w:val="32"/>
              </w:rPr>
              <w:t>、</w:t>
            </w:r>
            <w:r>
              <w:rPr>
                <w:rFonts w:hint="eastAsia" w:ascii="仿宋" w:hAnsi="仿宋" w:eastAsia="仿宋" w:cs="楷体"/>
                <w:sz w:val="32"/>
                <w:szCs w:val="32"/>
                <w:lang w:val="en-US" w:eastAsia="zh-CN"/>
              </w:rPr>
              <w:t>联系人：</w:t>
            </w:r>
            <w:r>
              <w:rPr>
                <w:rFonts w:hint="eastAsia" w:ascii="仿宋" w:hAnsi="仿宋" w:eastAsia="仿宋" w:cs="仿宋"/>
                <w:sz w:val="30"/>
                <w:szCs w:val="30"/>
                <w:lang w:val="en-US" w:eastAsia="zh-CN"/>
              </w:rPr>
              <w:t>纪楷滨</w:t>
            </w:r>
            <w:r>
              <w:rPr>
                <w:rFonts w:hint="eastAsia" w:ascii="仿宋" w:hAnsi="仿宋" w:eastAsia="仿宋" w:cs="楷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6" w:type="dxa"/>
            <w:vAlign w:val="center"/>
          </w:tcPr>
          <w:p>
            <w:pPr>
              <w:jc w:val="center"/>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3</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服务机构的资质要求</w:t>
            </w:r>
          </w:p>
        </w:tc>
        <w:tc>
          <w:tcPr>
            <w:tcW w:w="6285" w:type="dxa"/>
            <w:vAlign w:val="center"/>
          </w:tcPr>
          <w:p>
            <w:pPr>
              <w:numPr>
                <w:ilvl w:val="0"/>
                <w:numId w:val="0"/>
              </w:numPr>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1.具备中华人民共和国境内注册并取得营业执照的独立法人，营业执照证书上有本项目相关的经营内容。</w:t>
            </w:r>
          </w:p>
          <w:p>
            <w:pPr>
              <w:numPr>
                <w:ilvl w:val="0"/>
                <w:numId w:val="0"/>
              </w:numPr>
              <w:rPr>
                <w:rFonts w:hint="default" w:ascii="仿宋" w:hAnsi="仿宋" w:eastAsia="仿宋" w:cs="楷体"/>
                <w:sz w:val="32"/>
                <w:szCs w:val="32"/>
                <w:lang w:val="en-US" w:eastAsia="zh-CN"/>
              </w:rPr>
            </w:pPr>
            <w:r>
              <w:rPr>
                <w:rFonts w:hint="eastAsia" w:ascii="仿宋" w:hAnsi="仿宋" w:eastAsia="仿宋" w:cs="楷体"/>
                <w:sz w:val="32"/>
                <w:szCs w:val="32"/>
                <w:lang w:val="en-US" w:eastAsia="zh-CN"/>
              </w:rPr>
              <w:t>2.与采购人没有行政或经济关联。</w:t>
            </w:r>
          </w:p>
          <w:p>
            <w:pPr>
              <w:rPr>
                <w:rFonts w:hint="eastAsia" w:ascii="仿宋" w:hAnsi="仿宋" w:eastAsia="仿宋" w:cs="楷体"/>
                <w:sz w:val="32"/>
                <w:szCs w:val="32"/>
                <w:highlight w:val="none"/>
                <w:lang w:val="en-US" w:eastAsia="zh-CN"/>
              </w:rPr>
            </w:pPr>
            <w:r>
              <w:rPr>
                <w:rFonts w:hint="eastAsia" w:ascii="仿宋" w:hAnsi="仿宋" w:eastAsia="仿宋" w:cs="楷体"/>
                <w:sz w:val="32"/>
                <w:szCs w:val="32"/>
                <w:highlight w:val="none"/>
                <w:lang w:val="en-US" w:eastAsia="zh-CN"/>
              </w:rPr>
              <w:t>3.有相关类型项目的工作经历，提供资料包括但不限于合同、工作业绩证明等。</w:t>
            </w:r>
          </w:p>
          <w:p>
            <w:pPr>
              <w:ind w:left="0" w:leftChars="0" w:firstLine="640" w:firstLineChars="200"/>
              <w:rPr>
                <w:rFonts w:hint="default" w:ascii="仿宋" w:hAnsi="仿宋" w:eastAsia="仿宋" w:cs="楷体"/>
                <w:sz w:val="32"/>
                <w:szCs w:val="32"/>
                <w:lang w:val="en-US" w:eastAsia="zh-CN"/>
              </w:rPr>
            </w:pPr>
            <w:r>
              <w:rPr>
                <w:rFonts w:hint="eastAsia" w:ascii="仿宋" w:hAnsi="仿宋" w:eastAsia="仿宋" w:cs="楷体"/>
                <w:sz w:val="32"/>
                <w:szCs w:val="32"/>
                <w:highlight w:val="none"/>
                <w:lang w:val="en-US" w:eastAsia="zh-CN"/>
              </w:rPr>
              <w:t>报价人在报价时，提供上述1,3的相关证明材料(含附表），2提供承诺书。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lang w:val="en-US" w:eastAsia="zh-CN"/>
              </w:rPr>
              <w:t>4</w:t>
            </w:r>
          </w:p>
        </w:tc>
        <w:tc>
          <w:tcPr>
            <w:tcW w:w="2271" w:type="dxa"/>
            <w:vAlign w:val="center"/>
          </w:tcPr>
          <w:p>
            <w:pPr>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具体的服务内容和服务要求</w:t>
            </w:r>
          </w:p>
        </w:tc>
        <w:tc>
          <w:tcPr>
            <w:tcW w:w="6285" w:type="dxa"/>
            <w:vAlign w:val="center"/>
          </w:tcPr>
          <w:p>
            <w:pPr>
              <w:rPr>
                <w:rFonts w:hint="default" w:ascii="仿宋" w:hAnsi="仿宋" w:eastAsia="仿宋" w:cs="楷体"/>
                <w:sz w:val="32"/>
                <w:szCs w:val="32"/>
                <w:lang w:val="en-US" w:eastAsia="zh-CN"/>
              </w:rPr>
            </w:pPr>
            <w:r>
              <w:rPr>
                <w:rFonts w:hint="eastAsia" w:ascii="仿宋" w:hAnsi="仿宋" w:eastAsia="仿宋" w:cs="楷体"/>
                <w:sz w:val="32"/>
                <w:szCs w:val="32"/>
                <w:lang w:val="en-US" w:eastAsia="zh-CN"/>
              </w:rPr>
              <w:t>1.服务方式：</w:t>
            </w:r>
            <w:r>
              <w:rPr>
                <w:rFonts w:hint="eastAsia" w:ascii="仿宋" w:hAnsi="仿宋" w:eastAsia="仿宋" w:cs="楷体"/>
                <w:sz w:val="32"/>
                <w:szCs w:val="32"/>
                <w:highlight w:val="none"/>
                <w:lang w:val="en-US" w:eastAsia="zh-CN"/>
              </w:rPr>
              <w:t>包括现场服务及远程咨询服务。现场服务共分3期进行，首次入场服务时间不低于15个工作日，工作内容主要包括规范化整改的现场指导及管理制度文件的形成；后续持续跟进服务时间（第2期，第3期）现场服务时间不低于2天，内容包括现场检查，对上一个实施周期间的结果进行总结，对相关文件修订改进及开展现场指导培训共4项内容。</w:t>
            </w:r>
          </w:p>
          <w:p>
            <w:pPr>
              <w:rPr>
                <w:rFonts w:hint="default" w:ascii="仿宋" w:hAnsi="仿宋" w:eastAsia="仿宋" w:cs="楷体"/>
                <w:sz w:val="32"/>
                <w:szCs w:val="32"/>
                <w:highlight w:val="yellow"/>
                <w:lang w:val="en-US" w:eastAsia="zh-CN"/>
              </w:rPr>
            </w:pPr>
            <w:r>
              <w:rPr>
                <w:rFonts w:hint="eastAsia" w:ascii="仿宋" w:hAnsi="仿宋" w:eastAsia="仿宋" w:cs="楷体"/>
                <w:sz w:val="32"/>
                <w:szCs w:val="32"/>
                <w:lang w:val="en-US" w:eastAsia="zh-CN"/>
              </w:rPr>
              <w:t>2.在首次入场服务前，需派员到</w:t>
            </w:r>
            <w:r>
              <w:rPr>
                <w:rFonts w:hint="eastAsia" w:ascii="仿宋" w:hAnsi="仿宋" w:eastAsia="仿宋" w:cs="楷体"/>
                <w:sz w:val="32"/>
                <w:szCs w:val="32"/>
                <w:highlight w:val="none"/>
                <w:lang w:val="en-US" w:eastAsia="zh-CN"/>
              </w:rPr>
              <w:t>广东省汕头生态环境监测中心站现场开展调研与评估，提供现场评估情况及服务需采购的物件清单；服务方须在签订合同后15日内开始入场服务，按合同约定完成对应时间的服务工作（另外约定的除外）。</w:t>
            </w:r>
          </w:p>
          <w:p>
            <w:pPr>
              <w:spacing w:beforeLines="0" w:afterLines="0"/>
              <w:jc w:val="left"/>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3.提供文件：结合我站现有质量管理体系，新版《检验检测机构资质认定评审准则》（2023）和《检验检测机构资质认定生态环境监测机构评审补充要求》及《检测和校准实验室能力认可准则》应用要求》（</w:t>
            </w:r>
            <w:r>
              <w:rPr>
                <w:rFonts w:hint="default" w:ascii="仿宋" w:hAnsi="仿宋" w:eastAsia="仿宋" w:cs="楷体"/>
                <w:sz w:val="32"/>
                <w:szCs w:val="32"/>
                <w:lang w:val="en-US" w:eastAsia="zh-CN"/>
              </w:rPr>
              <w:t>CNAS CL01-G001</w:t>
            </w:r>
            <w:r>
              <w:rPr>
                <w:rFonts w:hint="eastAsia" w:ascii="仿宋" w:hAnsi="仿宋" w:eastAsia="仿宋" w:cs="楷体"/>
                <w:sz w:val="32"/>
                <w:szCs w:val="32"/>
                <w:lang w:val="en-US" w:eastAsia="zh-CN"/>
              </w:rPr>
              <w:t>：2024</w:t>
            </w:r>
            <w:r>
              <w:rPr>
                <w:rFonts w:hint="eastAsia" w:ascii="TimesNewRomanPS-BoldMT" w:hAnsi="TimesNewRomanPS-BoldMT" w:eastAsia="宋体"/>
                <w:b/>
                <w:sz w:val="36"/>
                <w:lang w:eastAsia="zh-CN"/>
              </w:rPr>
              <w:t>）</w:t>
            </w:r>
            <w:r>
              <w:rPr>
                <w:rFonts w:hint="eastAsia" w:ascii="仿宋" w:hAnsi="仿宋" w:eastAsia="仿宋" w:cs="楷体"/>
                <w:sz w:val="32"/>
                <w:szCs w:val="32"/>
                <w:lang w:val="en-US" w:eastAsia="zh-CN"/>
              </w:rPr>
              <w:t>的要求，制定6S管理标准和管理制度等相关制度文件，并针对不同的实验室功能间形成维持状态的易于检查核对操作的管理文件，在首次入场服务完成后提交全部文档。</w:t>
            </w:r>
          </w:p>
          <w:p>
            <w:pPr>
              <w:spacing w:beforeLines="0" w:afterLines="0"/>
              <w:jc w:val="left"/>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4.提供培训：在首次入场服务完成后，对实验室及相关人员开展6S管理知识、6S管理操作等内容培训宣传，整个服务周期内对6S管理知识、6S管理操作的整体培训次数不低于2次。</w:t>
            </w:r>
          </w:p>
          <w:p>
            <w:pPr>
              <w:rPr>
                <w:rFonts w:hint="default" w:ascii="仿宋" w:hAnsi="仿宋" w:eastAsia="仿宋" w:cs="楷体"/>
                <w:sz w:val="32"/>
                <w:szCs w:val="32"/>
                <w:highlight w:val="none"/>
                <w:lang w:val="en-US" w:eastAsia="zh-CN"/>
              </w:rPr>
            </w:pPr>
            <w:r>
              <w:rPr>
                <w:rFonts w:hint="eastAsia" w:ascii="仿宋" w:hAnsi="仿宋" w:eastAsia="仿宋" w:cs="楷体"/>
                <w:sz w:val="32"/>
                <w:szCs w:val="32"/>
                <w:lang w:val="en-US" w:eastAsia="zh-CN"/>
              </w:rPr>
              <w:t>5.</w:t>
            </w:r>
            <w:r>
              <w:rPr>
                <w:rFonts w:hint="eastAsia" w:ascii="仿宋" w:hAnsi="仿宋" w:eastAsia="仿宋" w:cs="楷体"/>
                <w:sz w:val="32"/>
                <w:szCs w:val="32"/>
                <w:highlight w:val="none"/>
                <w:lang w:val="en-US" w:eastAsia="zh-CN"/>
              </w:rPr>
              <w:t>服务方需向广东省汕头生态环境监测中心站出具开展服务工作事项相对应的佐证材料。</w:t>
            </w:r>
          </w:p>
          <w:p>
            <w:pPr>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6.报价人按附件2，附件3进行报价。</w:t>
            </w:r>
          </w:p>
          <w:p>
            <w:pPr>
              <w:rPr>
                <w:rFonts w:hint="default" w:ascii="仿宋" w:hAnsi="仿宋" w:eastAsia="仿宋" w:cs="楷体"/>
                <w:sz w:val="32"/>
                <w:szCs w:val="32"/>
                <w:highlight w:val="none"/>
                <w:lang w:val="en-US" w:eastAsia="zh-CN"/>
              </w:rPr>
            </w:pPr>
            <w:r>
              <w:rPr>
                <w:rFonts w:hint="eastAsia" w:ascii="仿宋" w:hAnsi="仿宋" w:eastAsia="仿宋" w:cs="楷体"/>
                <w:sz w:val="32"/>
                <w:szCs w:val="32"/>
                <w:lang w:val="en-US" w:eastAsia="zh-CN"/>
              </w:rPr>
              <w:t>7.报价人需按照项目内容和要求，制定具体详细的服务实施方案</w:t>
            </w:r>
            <w:r>
              <w:rPr>
                <w:rFonts w:hint="eastAsia" w:ascii="仿宋" w:hAnsi="仿宋" w:eastAsia="仿宋" w:cs="楷体"/>
                <w:sz w:val="32"/>
                <w:szCs w:val="32"/>
                <w:highlight w:val="none"/>
                <w:lang w:val="en-US" w:eastAsia="zh-CN"/>
              </w:rPr>
              <w:t>（包括但不限于服务人员资质，服务内容，服务方式，服务标准，服务成果及服务过程的条件需求等）。</w:t>
            </w:r>
          </w:p>
          <w:p>
            <w:pPr>
              <w:rPr>
                <w:rFonts w:hint="default" w:ascii="仿宋" w:hAnsi="仿宋" w:eastAsia="仿宋" w:cs="楷体"/>
                <w:sz w:val="32"/>
                <w:szCs w:val="32"/>
                <w:lang w:val="en-US" w:eastAsia="zh-CN"/>
              </w:rPr>
            </w:pPr>
            <w:r>
              <w:rPr>
                <w:rFonts w:hint="eastAsia" w:ascii="仿宋" w:hAnsi="仿宋" w:eastAsia="仿宋" w:cs="楷体"/>
                <w:sz w:val="32"/>
                <w:szCs w:val="32"/>
                <w:lang w:val="en-US" w:eastAsia="zh-CN"/>
              </w:rPr>
              <w:t>8.报价人如有同类项目业绩案例，可提供近三年业绩证明材料（如合同等）。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lang w:val="en-US" w:eastAsia="zh-CN"/>
              </w:rPr>
              <w:t>5</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合同履行地点和方式</w:t>
            </w:r>
          </w:p>
        </w:tc>
        <w:tc>
          <w:tcPr>
            <w:tcW w:w="6285" w:type="dxa"/>
            <w:vAlign w:val="center"/>
          </w:tcPr>
          <w:p>
            <w:pPr>
              <w:numPr>
                <w:ilvl w:val="0"/>
                <w:numId w:val="1"/>
              </w:numPr>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合同履行地点：广东省汕头生态环境监测中心站实验室。</w:t>
            </w:r>
          </w:p>
          <w:p>
            <w:pPr>
              <w:numPr>
                <w:ilvl w:val="0"/>
                <w:numId w:val="0"/>
              </w:numPr>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2.服务时间：合同签订后15日内开展入场现场工作，整体的服务期限不超过9个月。</w:t>
            </w:r>
          </w:p>
          <w:p>
            <w:pPr>
              <w:numPr>
                <w:ilvl w:val="0"/>
                <w:numId w:val="0"/>
              </w:numPr>
              <w:rPr>
                <w:rFonts w:hint="default" w:ascii="仿宋" w:hAnsi="仿宋" w:eastAsia="仿宋" w:cs="楷体"/>
                <w:sz w:val="32"/>
                <w:szCs w:val="32"/>
                <w:lang w:val="en-US"/>
              </w:rPr>
            </w:pPr>
            <w:r>
              <w:rPr>
                <w:rFonts w:hint="eastAsia" w:ascii="仿宋" w:hAnsi="仿宋" w:eastAsia="仿宋" w:cs="楷体"/>
                <w:sz w:val="32"/>
                <w:szCs w:val="32"/>
                <w:lang w:val="en-US" w:eastAsia="zh-CN"/>
              </w:rPr>
              <w:t>3.服务方式：现场指导培训及远程咨询指导。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lang w:val="en-US" w:eastAsia="zh-CN"/>
              </w:rPr>
              <w:t>6</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公开选取方式和计价标准</w:t>
            </w:r>
          </w:p>
        </w:tc>
        <w:tc>
          <w:tcPr>
            <w:tcW w:w="6285" w:type="dxa"/>
            <w:vAlign w:val="center"/>
          </w:tcPr>
          <w:p>
            <w:pPr>
              <w:rPr>
                <w:rFonts w:ascii="仿宋" w:hAnsi="仿宋" w:eastAsia="仿宋" w:cs="楷体"/>
                <w:sz w:val="32"/>
                <w:szCs w:val="32"/>
              </w:rPr>
            </w:pPr>
            <w:r>
              <w:rPr>
                <w:rFonts w:hint="eastAsia" w:ascii="仿宋" w:hAnsi="仿宋" w:eastAsia="仿宋" w:cs="楷体"/>
                <w:sz w:val="32"/>
                <w:szCs w:val="32"/>
              </w:rPr>
              <w:t>1.公开选取方式：</w:t>
            </w:r>
            <w:r>
              <w:rPr>
                <w:rFonts w:hint="eastAsia" w:ascii="仿宋" w:hAnsi="仿宋" w:eastAsia="仿宋" w:cs="楷体"/>
                <w:sz w:val="32"/>
                <w:szCs w:val="32"/>
                <w:lang w:eastAsia="zh-CN"/>
              </w:rPr>
              <w:t>方案择优选取</w:t>
            </w:r>
            <w:r>
              <w:rPr>
                <w:rFonts w:hint="eastAsia" w:ascii="仿宋" w:hAnsi="仿宋" w:eastAsia="仿宋" w:cs="楷体"/>
                <w:sz w:val="32"/>
                <w:szCs w:val="32"/>
              </w:rPr>
              <w:t>。</w:t>
            </w:r>
          </w:p>
          <w:p>
            <w:pPr>
              <w:jc w:val="both"/>
              <w:rPr>
                <w:rFonts w:ascii="仿宋" w:hAnsi="仿宋" w:eastAsia="仿宋" w:cs="楷体"/>
                <w:sz w:val="32"/>
                <w:szCs w:val="32"/>
              </w:rPr>
            </w:pPr>
            <w:r>
              <w:rPr>
                <w:rFonts w:hint="eastAsia" w:ascii="仿宋" w:hAnsi="仿宋" w:eastAsia="仿宋" w:cs="楷体"/>
                <w:sz w:val="32"/>
                <w:szCs w:val="32"/>
              </w:rPr>
              <w:t>2.报价方式：</w:t>
            </w:r>
            <w:r>
              <w:rPr>
                <w:rFonts w:hint="eastAsia" w:ascii="仿宋" w:hAnsi="仿宋" w:eastAsia="仿宋" w:cs="楷体"/>
                <w:sz w:val="32"/>
                <w:szCs w:val="32"/>
                <w:highlight w:val="none"/>
                <w:lang w:val="en-US" w:eastAsia="zh-CN"/>
              </w:rPr>
              <w:t>按附件2,附件3进行报价，总价预算为不超过15.6万元</w:t>
            </w:r>
            <w:r>
              <w:rPr>
                <w:rFonts w:hint="eastAsia" w:ascii="仿宋" w:hAnsi="仿宋" w:eastAsia="仿宋" w:cs="楷体"/>
                <w:sz w:val="32"/>
                <w:szCs w:val="32"/>
              </w:rPr>
              <w:t>。</w:t>
            </w:r>
          </w:p>
          <w:p>
            <w:pPr>
              <w:rPr>
                <w:rFonts w:ascii="仿宋" w:hAnsi="仿宋" w:eastAsia="仿宋" w:cs="楷体"/>
                <w:sz w:val="32"/>
                <w:szCs w:val="32"/>
              </w:rPr>
            </w:pPr>
            <w:r>
              <w:rPr>
                <w:rFonts w:hint="eastAsia" w:ascii="仿宋" w:hAnsi="仿宋" w:eastAsia="仿宋" w:cs="楷体"/>
                <w:sz w:val="32"/>
                <w:szCs w:val="32"/>
              </w:rPr>
              <w:t>3.计价标准：按</w:t>
            </w:r>
            <w:r>
              <w:rPr>
                <w:rFonts w:hint="eastAsia" w:ascii="仿宋" w:hAnsi="仿宋" w:eastAsia="仿宋" w:cs="楷体"/>
                <w:sz w:val="32"/>
                <w:szCs w:val="32"/>
                <w:lang w:val="en-US" w:eastAsia="zh-CN"/>
              </w:rPr>
              <w:t>服务</w:t>
            </w:r>
            <w:r>
              <w:rPr>
                <w:rFonts w:hint="eastAsia" w:ascii="仿宋" w:hAnsi="仿宋" w:eastAsia="仿宋" w:cs="楷体"/>
                <w:sz w:val="32"/>
                <w:szCs w:val="32"/>
              </w:rPr>
              <w:t>项目</w:t>
            </w:r>
            <w:r>
              <w:rPr>
                <w:rFonts w:hint="eastAsia" w:ascii="仿宋" w:hAnsi="仿宋" w:eastAsia="仿宋" w:cs="楷体"/>
                <w:sz w:val="32"/>
                <w:szCs w:val="32"/>
                <w:lang w:eastAsia="zh-CN"/>
              </w:rPr>
              <w:t>的</w:t>
            </w:r>
            <w:r>
              <w:rPr>
                <w:rFonts w:hint="eastAsia" w:ascii="仿宋" w:hAnsi="仿宋" w:eastAsia="仿宋" w:cs="楷体"/>
                <w:sz w:val="32"/>
                <w:szCs w:val="32"/>
                <w:lang w:val="en-US" w:eastAsia="zh-CN"/>
              </w:rPr>
              <w:t>具体</w:t>
            </w:r>
            <w:r>
              <w:rPr>
                <w:rFonts w:hint="eastAsia" w:ascii="仿宋" w:hAnsi="仿宋" w:eastAsia="仿宋" w:cs="楷体"/>
                <w:sz w:val="32"/>
                <w:szCs w:val="32"/>
              </w:rPr>
              <w:t>情况</w:t>
            </w:r>
            <w:r>
              <w:rPr>
                <w:rFonts w:hint="eastAsia" w:ascii="仿宋" w:hAnsi="仿宋" w:eastAsia="仿宋" w:cs="楷体"/>
                <w:sz w:val="32"/>
                <w:szCs w:val="32"/>
                <w:lang w:val="en-US" w:eastAsia="zh-CN"/>
              </w:rPr>
              <w:t>报价</w:t>
            </w:r>
            <w:r>
              <w:rPr>
                <w:rFonts w:hint="eastAsia" w:ascii="仿宋" w:hAnsi="仿宋" w:eastAsia="仿宋" w:cs="楷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lang w:val="en-US" w:eastAsia="zh-CN"/>
              </w:rPr>
              <w:t>7</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服务时间</w:t>
            </w:r>
          </w:p>
        </w:tc>
        <w:tc>
          <w:tcPr>
            <w:tcW w:w="6285" w:type="dxa"/>
            <w:vAlign w:val="center"/>
          </w:tcPr>
          <w:p>
            <w:pPr>
              <w:rPr>
                <w:rFonts w:ascii="仿宋" w:hAnsi="仿宋" w:eastAsia="仿宋" w:cs="楷体"/>
                <w:sz w:val="32"/>
                <w:szCs w:val="32"/>
              </w:rPr>
            </w:pPr>
            <w:r>
              <w:rPr>
                <w:rFonts w:hint="eastAsia" w:ascii="仿宋" w:hAnsi="仿宋" w:eastAsia="仿宋" w:cs="楷体"/>
                <w:sz w:val="32"/>
                <w:szCs w:val="32"/>
              </w:rPr>
              <w:t>本项目采购合同自双方盖公章后生效。本项目服务期</w:t>
            </w:r>
            <w:r>
              <w:rPr>
                <w:rFonts w:hint="eastAsia" w:ascii="仿宋" w:hAnsi="仿宋" w:eastAsia="仿宋" w:cs="楷体"/>
                <w:sz w:val="32"/>
                <w:szCs w:val="32"/>
                <w:lang w:val="en-US" w:eastAsia="zh-CN"/>
              </w:rPr>
              <w:t>为不超过9个月</w:t>
            </w:r>
            <w:r>
              <w:rPr>
                <w:rFonts w:hint="eastAsia" w:ascii="仿宋" w:hAnsi="仿宋" w:eastAsia="仿宋" w:cs="楷体"/>
                <w:sz w:val="32"/>
                <w:szCs w:val="32"/>
              </w:rPr>
              <w:t>，自合同生效之日起开始计算。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6"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lang w:val="en-US" w:eastAsia="zh-CN"/>
              </w:rPr>
              <w:t>8</w:t>
            </w:r>
          </w:p>
        </w:tc>
        <w:tc>
          <w:tcPr>
            <w:tcW w:w="2271" w:type="dxa"/>
            <w:vAlign w:val="center"/>
          </w:tcPr>
          <w:p>
            <w:pPr>
              <w:pStyle w:val="3"/>
              <w:jc w:val="both"/>
              <w:rPr>
                <w:rFonts w:hint="eastAsia" w:ascii="仿宋" w:hAnsi="仿宋" w:eastAsia="仿宋" w:cs="楷体"/>
                <w:b w:val="0"/>
                <w:w w:val="100"/>
                <w:kern w:val="2"/>
                <w:sz w:val="32"/>
                <w:szCs w:val="32"/>
                <w:lang w:val="en-US" w:eastAsia="zh-CN" w:bidi="ar-SA"/>
              </w:rPr>
            </w:pPr>
            <w:r>
              <w:rPr>
                <w:rFonts w:hint="eastAsia" w:ascii="仿宋" w:hAnsi="仿宋" w:eastAsia="仿宋" w:cs="楷体"/>
                <w:b w:val="0"/>
                <w:w w:val="100"/>
                <w:kern w:val="2"/>
                <w:sz w:val="32"/>
                <w:szCs w:val="32"/>
                <w:lang w:val="en-US" w:eastAsia="zh-CN" w:bidi="ar-SA"/>
              </w:rPr>
              <w:t>验收</w:t>
            </w:r>
          </w:p>
        </w:tc>
        <w:tc>
          <w:tcPr>
            <w:tcW w:w="6285" w:type="dxa"/>
            <w:vAlign w:val="center"/>
          </w:tcPr>
          <w:p>
            <w:pPr>
              <w:pStyle w:val="3"/>
              <w:jc w:val="both"/>
              <w:rPr>
                <w:rFonts w:hint="eastAsia" w:ascii="仿宋" w:hAnsi="仿宋" w:eastAsia="仿宋" w:cs="楷体"/>
                <w:b w:val="0"/>
                <w:w w:val="100"/>
                <w:kern w:val="2"/>
                <w:sz w:val="32"/>
                <w:szCs w:val="32"/>
                <w:lang w:val="en-US" w:eastAsia="zh-CN" w:bidi="ar-SA"/>
              </w:rPr>
            </w:pPr>
            <w:r>
              <w:rPr>
                <w:rFonts w:hint="eastAsia" w:ascii="仿宋" w:hAnsi="仿宋" w:eastAsia="仿宋" w:cs="楷体"/>
                <w:b w:val="0"/>
                <w:w w:val="100"/>
                <w:kern w:val="2"/>
                <w:sz w:val="32"/>
                <w:szCs w:val="32"/>
                <w:lang w:val="en-US" w:eastAsia="zh-CN" w:bidi="ar-SA"/>
              </w:rPr>
              <w:t>1.验收时间：第3期服务完成后，提供合同条款要求的全部佐证材料并核对无误后进行验收。</w:t>
            </w:r>
          </w:p>
          <w:p>
            <w:pPr>
              <w:pStyle w:val="3"/>
              <w:jc w:val="both"/>
              <w:rPr>
                <w:rFonts w:hint="eastAsia" w:ascii="仿宋" w:hAnsi="仿宋" w:eastAsia="仿宋" w:cs="楷体"/>
                <w:b w:val="0"/>
                <w:w w:val="100"/>
                <w:kern w:val="2"/>
                <w:sz w:val="32"/>
                <w:szCs w:val="32"/>
                <w:lang w:val="en-US" w:eastAsia="zh-CN" w:bidi="ar-SA"/>
              </w:rPr>
            </w:pPr>
            <w:r>
              <w:rPr>
                <w:rFonts w:hint="eastAsia" w:ascii="仿宋" w:hAnsi="仿宋" w:eastAsia="仿宋" w:cs="楷体"/>
                <w:b w:val="0"/>
                <w:w w:val="100"/>
                <w:kern w:val="2"/>
                <w:sz w:val="32"/>
                <w:szCs w:val="32"/>
                <w:lang w:val="en-US" w:eastAsia="zh-CN" w:bidi="ar-SA"/>
              </w:rPr>
              <w:t>2.验收程序：项目业主自行验收。</w:t>
            </w:r>
          </w:p>
          <w:p>
            <w:pPr>
              <w:pStyle w:val="3"/>
              <w:jc w:val="both"/>
              <w:rPr>
                <w:rFonts w:hint="eastAsia" w:ascii="仿宋" w:hAnsi="仿宋" w:eastAsia="仿宋" w:cs="楷体"/>
                <w:b w:val="0"/>
                <w:w w:val="100"/>
                <w:kern w:val="2"/>
                <w:sz w:val="32"/>
                <w:szCs w:val="32"/>
                <w:lang w:val="en-US" w:eastAsia="zh-CN" w:bidi="ar-SA"/>
              </w:rPr>
            </w:pPr>
            <w:r>
              <w:rPr>
                <w:rFonts w:hint="eastAsia" w:ascii="仿宋" w:hAnsi="仿宋" w:eastAsia="仿宋" w:cs="楷体"/>
                <w:b w:val="0"/>
                <w:w w:val="100"/>
                <w:kern w:val="2"/>
                <w:sz w:val="32"/>
                <w:szCs w:val="32"/>
                <w:lang w:val="en-US" w:eastAsia="zh-CN" w:bidi="ar-SA"/>
              </w:rPr>
              <w:t>3.验收标准：服务完成后，按照合同条款核对佐证材料，符合相关条款后进行验收。</w:t>
            </w:r>
          </w:p>
          <w:p>
            <w:pPr>
              <w:pStyle w:val="3"/>
              <w:jc w:val="both"/>
              <w:rPr>
                <w:rFonts w:hint="default" w:ascii="仿宋" w:hAnsi="仿宋" w:eastAsia="仿宋" w:cs="楷体"/>
                <w:b w:val="0"/>
                <w:w w:val="100"/>
                <w:kern w:val="2"/>
                <w:sz w:val="32"/>
                <w:szCs w:val="32"/>
                <w:lang w:val="en-US" w:eastAsia="zh-CN" w:bidi="ar-SA"/>
              </w:rPr>
            </w:pPr>
            <w:r>
              <w:rPr>
                <w:rFonts w:hint="eastAsia" w:ascii="仿宋" w:hAnsi="仿宋" w:eastAsia="仿宋" w:cs="楷体"/>
                <w:b w:val="0"/>
                <w:w w:val="100"/>
                <w:kern w:val="2"/>
                <w:sz w:val="32"/>
                <w:szCs w:val="32"/>
                <w:lang w:val="en-US" w:eastAsia="zh-CN" w:bidi="ar-SA"/>
              </w:rPr>
              <w:t>4.未能提供合同条款要求的全部服务凭证及相关文件材料，判定为验收不合格；验收不合格的处理根据《中华人民共和国民法典》等法律条文以及项目实际情况确定。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2"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lang w:val="en-US" w:eastAsia="zh-CN"/>
              </w:rPr>
              <w:t>9</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结算方式</w:t>
            </w:r>
          </w:p>
        </w:tc>
        <w:tc>
          <w:tcPr>
            <w:tcW w:w="6285" w:type="dxa"/>
            <w:vAlign w:val="center"/>
          </w:tcPr>
          <w:p>
            <w:pPr>
              <w:jc w:val="left"/>
              <w:outlineLvl w:val="0"/>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1.合同签订时,按合同要求提供相关的文件材料，并在收到发票后的10个工作日内支付合同金额的50%；</w:t>
            </w:r>
          </w:p>
          <w:p>
            <w:pPr>
              <w:jc w:val="left"/>
              <w:outlineLvl w:val="0"/>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2.完成首期现场入场服务后，按合同要求提供相关的文件材料，在收到发票后的10个工作日内支付合同金额的45%；</w:t>
            </w:r>
          </w:p>
          <w:p>
            <w:pPr>
              <w:jc w:val="left"/>
              <w:outlineLvl w:val="0"/>
              <w:rPr>
                <w:rFonts w:hint="eastAsia" w:ascii="仿宋" w:hAnsi="仿宋" w:eastAsia="仿宋"/>
                <w:sz w:val="28"/>
                <w:szCs w:val="28"/>
                <w:lang w:eastAsia="zh-CN"/>
              </w:rPr>
            </w:pPr>
            <w:r>
              <w:rPr>
                <w:rFonts w:hint="eastAsia" w:ascii="仿宋" w:hAnsi="仿宋" w:eastAsia="仿宋" w:cs="楷体"/>
                <w:sz w:val="32"/>
                <w:szCs w:val="32"/>
                <w:lang w:val="en-US" w:eastAsia="zh-CN"/>
              </w:rPr>
              <w:t>3.完成最后一次入场服务后，按合同要求提供相关的文件材料（包括项目工作总结），在收到发票后的10个工作日内支付合同金额的5%。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rPr>
              <w:t>1</w:t>
            </w:r>
            <w:r>
              <w:rPr>
                <w:rFonts w:hint="eastAsia" w:ascii="仿宋" w:hAnsi="仿宋" w:eastAsia="仿宋" w:cs="楷体"/>
                <w:sz w:val="32"/>
                <w:szCs w:val="32"/>
                <w:lang w:val="en-US" w:eastAsia="zh-CN"/>
              </w:rPr>
              <w:t>0</w:t>
            </w:r>
          </w:p>
        </w:tc>
        <w:tc>
          <w:tcPr>
            <w:tcW w:w="2271" w:type="dxa"/>
            <w:vAlign w:val="center"/>
          </w:tcPr>
          <w:p>
            <w:pPr>
              <w:rPr>
                <w:rFonts w:hint="eastAsia" w:ascii="仿宋" w:hAnsi="仿宋" w:eastAsia="仿宋" w:cs="楷体"/>
                <w:kern w:val="2"/>
                <w:sz w:val="32"/>
                <w:szCs w:val="32"/>
                <w:lang w:val="en-US" w:eastAsia="zh-CN" w:bidi="ar-SA"/>
              </w:rPr>
            </w:pPr>
            <w:r>
              <w:rPr>
                <w:rFonts w:hint="eastAsia" w:ascii="仿宋" w:hAnsi="仿宋" w:eastAsia="仿宋" w:cs="楷体"/>
                <w:kern w:val="2"/>
                <w:sz w:val="32"/>
                <w:szCs w:val="32"/>
                <w:lang w:val="en-US" w:eastAsia="zh-CN" w:bidi="ar-SA"/>
              </w:rPr>
              <w:t>违约责任</w:t>
            </w:r>
          </w:p>
        </w:tc>
        <w:tc>
          <w:tcPr>
            <w:tcW w:w="6285" w:type="dxa"/>
            <w:vAlign w:val="center"/>
          </w:tcPr>
          <w:p>
            <w:pPr>
              <w:jc w:val="left"/>
              <w:outlineLvl w:val="0"/>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1.提供的服务不符合合同规定的，甲方有权拒收。</w:t>
            </w:r>
          </w:p>
          <w:p>
            <w:pPr>
              <w:jc w:val="left"/>
              <w:outlineLvl w:val="0"/>
              <w:rPr>
                <w:rFonts w:hint="eastAsia" w:ascii="仿宋" w:hAnsi="仿宋" w:eastAsia="仿宋" w:cs="楷体"/>
                <w:kern w:val="2"/>
                <w:sz w:val="32"/>
                <w:szCs w:val="32"/>
                <w:lang w:val="en-US" w:eastAsia="zh-CN" w:bidi="ar-SA"/>
              </w:rPr>
            </w:pPr>
            <w:r>
              <w:rPr>
                <w:rFonts w:hint="eastAsia" w:ascii="仿宋" w:hAnsi="仿宋" w:eastAsia="仿宋" w:cs="楷体"/>
                <w:sz w:val="32"/>
                <w:szCs w:val="32"/>
                <w:lang w:val="en-US" w:eastAsia="zh-CN"/>
              </w:rPr>
              <w:t>2.其它违约责任按《中华人民共和国民法典》等相关法律法规处理。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0"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rPr>
              <w:t>1</w:t>
            </w:r>
            <w:r>
              <w:rPr>
                <w:rFonts w:hint="eastAsia" w:ascii="仿宋" w:hAnsi="仿宋" w:eastAsia="仿宋" w:cs="楷体"/>
                <w:sz w:val="32"/>
                <w:szCs w:val="32"/>
                <w:lang w:val="en-US" w:eastAsia="zh-CN"/>
              </w:rPr>
              <w:t>1</w:t>
            </w:r>
          </w:p>
        </w:tc>
        <w:tc>
          <w:tcPr>
            <w:tcW w:w="2271" w:type="dxa"/>
            <w:vAlign w:val="center"/>
          </w:tcPr>
          <w:p>
            <w:pPr>
              <w:rPr>
                <w:rFonts w:ascii="仿宋" w:hAnsi="仿宋" w:eastAsia="仿宋" w:cs="楷体"/>
                <w:sz w:val="32"/>
                <w:szCs w:val="32"/>
              </w:rPr>
            </w:pPr>
            <w:r>
              <w:rPr>
                <w:rFonts w:hint="eastAsia" w:ascii="仿宋" w:hAnsi="仿宋" w:eastAsia="仿宋" w:cs="楷体"/>
                <w:sz w:val="32"/>
                <w:szCs w:val="32"/>
              </w:rPr>
              <w:t>补充合同和</w:t>
            </w:r>
          </w:p>
          <w:p>
            <w:pPr>
              <w:rPr>
                <w:rFonts w:ascii="仿宋" w:hAnsi="仿宋" w:eastAsia="仿宋" w:cs="楷体"/>
                <w:sz w:val="32"/>
                <w:szCs w:val="32"/>
              </w:rPr>
            </w:pPr>
            <w:r>
              <w:rPr>
                <w:rFonts w:hint="eastAsia" w:ascii="仿宋" w:hAnsi="仿宋" w:eastAsia="仿宋" w:cs="楷体"/>
                <w:sz w:val="32"/>
                <w:szCs w:val="32"/>
              </w:rPr>
              <w:t>解决争议方式</w:t>
            </w:r>
          </w:p>
        </w:tc>
        <w:tc>
          <w:tcPr>
            <w:tcW w:w="6285" w:type="dxa"/>
            <w:vAlign w:val="top"/>
          </w:tcPr>
          <w:p>
            <w:pPr>
              <w:ind w:firstLine="640" w:firstLineChars="200"/>
              <w:jc w:val="both"/>
              <w:rPr>
                <w:rFonts w:hint="eastAsia" w:ascii="仿宋" w:hAnsi="仿宋" w:eastAsia="仿宋" w:cs="楷体"/>
                <w:sz w:val="32"/>
                <w:szCs w:val="32"/>
              </w:rPr>
            </w:pPr>
            <w:r>
              <w:rPr>
                <w:rFonts w:hint="eastAsia" w:ascii="仿宋" w:hAnsi="仿宋" w:eastAsia="仿宋" w:cs="楷体"/>
                <w:sz w:val="32"/>
                <w:szCs w:val="32"/>
              </w:rPr>
              <w:t>对服务期间采购合同中如有未尽事宜，增加费用不超过本合同价10%时，可经双方友好协商后，签订补充</w:t>
            </w:r>
            <w:r>
              <w:rPr>
                <w:rFonts w:hint="eastAsia" w:ascii="仿宋" w:hAnsi="仿宋" w:eastAsia="仿宋" w:cs="楷体"/>
                <w:sz w:val="32"/>
                <w:szCs w:val="32"/>
                <w:lang w:val="en-US" w:eastAsia="zh-CN"/>
              </w:rPr>
              <w:t>协议</w:t>
            </w:r>
            <w:r>
              <w:rPr>
                <w:rFonts w:hint="eastAsia" w:ascii="仿宋" w:hAnsi="仿宋" w:eastAsia="仿宋" w:cs="楷体"/>
                <w:sz w:val="32"/>
                <w:szCs w:val="32"/>
              </w:rPr>
              <w:t>。超过10%时，增加的部分需重新进行采购，不列入本次</w:t>
            </w:r>
            <w:r>
              <w:rPr>
                <w:rFonts w:hint="eastAsia" w:ascii="仿宋" w:hAnsi="仿宋" w:eastAsia="仿宋" w:cs="楷体"/>
                <w:sz w:val="32"/>
                <w:szCs w:val="32"/>
                <w:lang w:val="en-US" w:eastAsia="zh-CN"/>
              </w:rPr>
              <w:t>服务采购的</w:t>
            </w:r>
            <w:r>
              <w:rPr>
                <w:rFonts w:hint="eastAsia" w:ascii="仿宋" w:hAnsi="仿宋" w:eastAsia="仿宋" w:cs="楷体"/>
                <w:sz w:val="32"/>
                <w:szCs w:val="32"/>
              </w:rPr>
              <w:t>范围。补充</w:t>
            </w:r>
            <w:r>
              <w:rPr>
                <w:rFonts w:hint="eastAsia" w:ascii="仿宋" w:hAnsi="仿宋" w:eastAsia="仿宋" w:cs="楷体"/>
                <w:sz w:val="32"/>
                <w:szCs w:val="32"/>
                <w:lang w:val="en-US" w:eastAsia="zh-CN"/>
              </w:rPr>
              <w:t>协议</w:t>
            </w:r>
            <w:r>
              <w:rPr>
                <w:rFonts w:hint="eastAsia" w:ascii="仿宋" w:hAnsi="仿宋" w:eastAsia="仿宋" w:cs="楷体"/>
                <w:sz w:val="32"/>
                <w:szCs w:val="32"/>
              </w:rPr>
              <w:t>不得与《中华人民共和国</w:t>
            </w:r>
            <w:r>
              <w:rPr>
                <w:rFonts w:hint="eastAsia" w:ascii="仿宋" w:hAnsi="仿宋" w:eastAsia="仿宋" w:cs="楷体"/>
                <w:sz w:val="32"/>
                <w:szCs w:val="32"/>
                <w:lang w:val="en-US" w:eastAsia="zh-CN"/>
              </w:rPr>
              <w:t>民法典</w:t>
            </w:r>
            <w:r>
              <w:rPr>
                <w:rFonts w:hint="eastAsia" w:ascii="仿宋" w:hAnsi="仿宋" w:eastAsia="仿宋" w:cs="楷体"/>
                <w:sz w:val="32"/>
                <w:szCs w:val="32"/>
              </w:rPr>
              <w:t>》</w:t>
            </w:r>
            <w:r>
              <w:rPr>
                <w:rFonts w:hint="eastAsia" w:ascii="仿宋" w:hAnsi="仿宋" w:eastAsia="仿宋" w:cs="楷体"/>
                <w:sz w:val="32"/>
                <w:szCs w:val="32"/>
                <w:lang w:val="en-US" w:eastAsia="zh-CN"/>
              </w:rPr>
              <w:t>及相关采购</w:t>
            </w:r>
            <w:r>
              <w:rPr>
                <w:rFonts w:hint="eastAsia" w:ascii="仿宋" w:hAnsi="仿宋" w:eastAsia="仿宋" w:cs="楷体"/>
                <w:sz w:val="32"/>
                <w:szCs w:val="32"/>
              </w:rPr>
              <w:t>制度相抵触。</w:t>
            </w:r>
          </w:p>
          <w:p>
            <w:pPr>
              <w:ind w:firstLine="640" w:firstLineChars="200"/>
              <w:jc w:val="both"/>
              <w:rPr>
                <w:rFonts w:hint="eastAsia" w:ascii="仿宋" w:hAnsi="仿宋" w:eastAsia="仿宋" w:cs="楷体"/>
                <w:sz w:val="32"/>
                <w:szCs w:val="32"/>
                <w:lang w:val="en-US"/>
              </w:rPr>
            </w:pPr>
            <w:r>
              <w:rPr>
                <w:rFonts w:hint="eastAsia" w:ascii="仿宋" w:hAnsi="仿宋" w:eastAsia="仿宋" w:cs="楷体"/>
                <w:sz w:val="32"/>
                <w:szCs w:val="32"/>
                <w:lang w:val="en-US"/>
              </w:rPr>
              <w:t>合同的订立、效力、解释、执行及履行，以及争议的解决，均应适用中华人民共和国现行的法律和地方法规。凡与合同有关的一切争议，甲乙双方应首先通过友好协商解决；如经协商后仍不能达成协议时，双方同意选择</w:t>
            </w:r>
            <w:r>
              <w:rPr>
                <w:rFonts w:hint="eastAsia" w:ascii="仿宋" w:hAnsi="仿宋" w:eastAsia="仿宋" w:cs="楷体"/>
                <w:sz w:val="32"/>
                <w:szCs w:val="32"/>
                <w:lang w:val="en-US" w:eastAsia="zh-CN"/>
              </w:rPr>
              <w:t>委托方</w:t>
            </w:r>
            <w:r>
              <w:rPr>
                <w:rFonts w:hint="eastAsia" w:ascii="仿宋" w:hAnsi="仿宋" w:eastAsia="仿宋" w:cs="楷体"/>
                <w:sz w:val="32"/>
                <w:szCs w:val="32"/>
                <w:lang w:val="en-US"/>
              </w:rPr>
              <w:t>所在地人民法院提起诉讼。</w:t>
            </w:r>
          </w:p>
          <w:p>
            <w:pPr>
              <w:ind w:firstLine="640" w:firstLineChars="200"/>
              <w:jc w:val="both"/>
              <w:rPr>
                <w:rFonts w:ascii="仿宋" w:hAnsi="仿宋" w:eastAsia="仿宋" w:cs="楷体"/>
                <w:sz w:val="32"/>
                <w:szCs w:val="32"/>
              </w:rPr>
            </w:pPr>
            <w:r>
              <w:rPr>
                <w:rFonts w:hint="eastAsia" w:ascii="仿宋" w:hAnsi="仿宋" w:eastAsia="仿宋" w:cs="楷体"/>
                <w:sz w:val="32"/>
                <w:szCs w:val="32"/>
                <w:lang w:val="en-US"/>
              </w:rPr>
              <w:t>在诉讼期间，除有争议部分的事项外，合同其他不受影响的部分仍应继续履行。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2" w:hRule="atLeast"/>
          <w:jc w:val="center"/>
        </w:trPr>
        <w:tc>
          <w:tcPr>
            <w:tcW w:w="716" w:type="dxa"/>
            <w:vAlign w:val="center"/>
          </w:tcPr>
          <w:p>
            <w:pPr>
              <w:jc w:val="center"/>
              <w:rPr>
                <w:rFonts w:hint="eastAsia" w:ascii="仿宋" w:hAnsi="仿宋" w:eastAsia="仿宋" w:cs="楷体"/>
                <w:sz w:val="32"/>
                <w:szCs w:val="32"/>
                <w:lang w:eastAsia="zh-CN"/>
              </w:rPr>
            </w:pPr>
            <w:r>
              <w:rPr>
                <w:rFonts w:hint="eastAsia" w:ascii="仿宋" w:hAnsi="仿宋" w:eastAsia="仿宋" w:cs="楷体"/>
                <w:sz w:val="32"/>
                <w:szCs w:val="32"/>
              </w:rPr>
              <w:t>1</w:t>
            </w:r>
            <w:r>
              <w:rPr>
                <w:rFonts w:hint="eastAsia" w:ascii="仿宋" w:hAnsi="仿宋" w:eastAsia="仿宋" w:cs="楷体"/>
                <w:sz w:val="32"/>
                <w:szCs w:val="32"/>
                <w:lang w:val="en-US" w:eastAsia="zh-CN"/>
              </w:rPr>
              <w:t>2</w:t>
            </w:r>
          </w:p>
        </w:tc>
        <w:tc>
          <w:tcPr>
            <w:tcW w:w="2271" w:type="dxa"/>
            <w:vAlign w:val="center"/>
          </w:tcPr>
          <w:p>
            <w:pPr>
              <w:jc w:val="left"/>
              <w:rPr>
                <w:rFonts w:ascii="仿宋" w:hAnsi="仿宋" w:eastAsia="仿宋" w:cs="楷体"/>
                <w:sz w:val="32"/>
                <w:szCs w:val="32"/>
              </w:rPr>
            </w:pPr>
            <w:r>
              <w:rPr>
                <w:rFonts w:hint="eastAsia" w:ascii="仿宋" w:hAnsi="仿宋" w:eastAsia="仿宋" w:cs="楷体"/>
                <w:sz w:val="32"/>
                <w:szCs w:val="32"/>
              </w:rPr>
              <w:t>备注</w:t>
            </w:r>
          </w:p>
        </w:tc>
        <w:tc>
          <w:tcPr>
            <w:tcW w:w="6285" w:type="dxa"/>
            <w:vAlign w:val="center"/>
          </w:tcPr>
          <w:p>
            <w:pPr>
              <w:tabs>
                <w:tab w:val="left" w:pos="312"/>
              </w:tabs>
              <w:rPr>
                <w:rFonts w:hint="eastAsia" w:ascii="仿宋" w:hAnsi="仿宋" w:eastAsia="仿宋" w:cs="楷体"/>
                <w:sz w:val="32"/>
                <w:szCs w:val="32"/>
                <w:lang w:eastAsia="zh-CN"/>
              </w:rPr>
            </w:pPr>
            <w:r>
              <w:rPr>
                <w:rFonts w:hint="eastAsia" w:ascii="仿宋" w:hAnsi="仿宋" w:eastAsia="仿宋" w:cs="楷体"/>
                <w:sz w:val="32"/>
                <w:szCs w:val="32"/>
              </w:rPr>
              <w:t>1.使用</w:t>
            </w:r>
            <w:r>
              <w:rPr>
                <w:rFonts w:hint="eastAsia" w:ascii="仿宋" w:hAnsi="仿宋" w:eastAsia="仿宋" w:cs="楷体"/>
                <w:sz w:val="32"/>
                <w:szCs w:val="32"/>
                <w:lang w:val="en-US" w:eastAsia="zh-CN"/>
              </w:rPr>
              <w:t>委托方提供的</w:t>
            </w:r>
            <w:r>
              <w:rPr>
                <w:rFonts w:hint="eastAsia" w:ascii="仿宋" w:hAnsi="仿宋" w:eastAsia="仿宋" w:cs="楷体"/>
                <w:sz w:val="32"/>
                <w:szCs w:val="32"/>
              </w:rPr>
              <w:t>合同范本</w:t>
            </w:r>
            <w:r>
              <w:rPr>
                <w:rFonts w:hint="eastAsia" w:ascii="仿宋" w:hAnsi="仿宋" w:eastAsia="仿宋" w:cs="楷体"/>
                <w:sz w:val="32"/>
                <w:szCs w:val="32"/>
                <w:lang w:eastAsia="zh-CN"/>
              </w:rPr>
              <w:t>；</w:t>
            </w:r>
          </w:p>
          <w:p>
            <w:pPr>
              <w:tabs>
                <w:tab w:val="left" w:pos="312"/>
              </w:tabs>
              <w:rPr>
                <w:rFonts w:ascii="仿宋" w:hAnsi="仿宋" w:eastAsia="仿宋" w:cs="楷体"/>
                <w:sz w:val="32"/>
                <w:szCs w:val="32"/>
              </w:rPr>
            </w:pPr>
            <w:r>
              <w:rPr>
                <w:rFonts w:hint="eastAsia" w:ascii="仿宋" w:hAnsi="仿宋" w:eastAsia="仿宋" w:cs="楷体"/>
                <w:sz w:val="32"/>
                <w:szCs w:val="32"/>
              </w:rPr>
              <w:t>2.合同的实质性内容，与采购公告、采购结果的内容一致。合同的实质性内容</w:t>
            </w:r>
            <w:r>
              <w:rPr>
                <w:rFonts w:hint="eastAsia" w:ascii="仿宋" w:hAnsi="仿宋" w:eastAsia="仿宋" w:cs="楷体"/>
                <w:sz w:val="32"/>
                <w:szCs w:val="32"/>
                <w:lang w:val="en-US" w:eastAsia="zh-CN"/>
              </w:rPr>
              <w:t>包括</w:t>
            </w:r>
            <w:r>
              <w:rPr>
                <w:rFonts w:hint="eastAsia" w:ascii="仿宋" w:hAnsi="仿宋" w:eastAsia="仿宋" w:cs="楷体"/>
                <w:sz w:val="32"/>
                <w:szCs w:val="32"/>
              </w:rPr>
              <w:t>合同标的、数量、</w:t>
            </w:r>
            <w:r>
              <w:rPr>
                <w:rFonts w:hint="eastAsia" w:ascii="仿宋" w:hAnsi="仿宋" w:eastAsia="仿宋" w:cs="楷体"/>
                <w:sz w:val="32"/>
                <w:szCs w:val="32"/>
                <w:lang w:val="en-US" w:eastAsia="zh-CN"/>
              </w:rPr>
              <w:t>提供的材料、</w:t>
            </w:r>
            <w:r>
              <w:rPr>
                <w:rFonts w:hint="eastAsia" w:ascii="仿宋" w:hAnsi="仿宋" w:eastAsia="仿宋" w:cs="楷体"/>
                <w:sz w:val="32"/>
                <w:szCs w:val="32"/>
              </w:rPr>
              <w:t>价款或者报酬、履行期限、履行地点和方式、违约责任和解决争议方法等（即表格中的序号1-1</w:t>
            </w:r>
            <w:r>
              <w:rPr>
                <w:rFonts w:hint="eastAsia" w:ascii="仿宋" w:hAnsi="仿宋" w:eastAsia="仿宋" w:cs="楷体"/>
                <w:sz w:val="32"/>
                <w:szCs w:val="32"/>
                <w:lang w:val="en-US" w:eastAsia="zh-CN"/>
              </w:rPr>
              <w:t>2</w:t>
            </w:r>
            <w:r>
              <w:rPr>
                <w:rFonts w:hint="eastAsia" w:ascii="仿宋" w:hAnsi="仿宋" w:eastAsia="仿宋" w:cs="楷体"/>
                <w:sz w:val="32"/>
                <w:szCs w:val="32"/>
              </w:rPr>
              <w:t xml:space="preserve">）。 </w:t>
            </w:r>
          </w:p>
          <w:p>
            <w:pPr>
              <w:rPr>
                <w:rFonts w:ascii="仿宋" w:hAnsi="仿宋" w:eastAsia="仿宋" w:cs="楷体"/>
                <w:sz w:val="32"/>
                <w:szCs w:val="32"/>
              </w:rPr>
            </w:pPr>
            <w:r>
              <w:rPr>
                <w:rFonts w:hint="eastAsia" w:ascii="仿宋" w:hAnsi="仿宋" w:eastAsia="仿宋" w:cs="楷体"/>
                <w:sz w:val="32"/>
                <w:szCs w:val="32"/>
              </w:rPr>
              <w:t>3.合同的变更、终止等，适用《中华人民共和国</w:t>
            </w:r>
            <w:r>
              <w:rPr>
                <w:rFonts w:hint="eastAsia" w:ascii="仿宋" w:hAnsi="仿宋" w:eastAsia="仿宋" w:cs="楷体"/>
                <w:sz w:val="32"/>
                <w:szCs w:val="32"/>
                <w:lang w:val="en-US" w:eastAsia="zh-CN"/>
              </w:rPr>
              <w:t>民法典</w:t>
            </w:r>
            <w:r>
              <w:rPr>
                <w:rFonts w:hint="eastAsia" w:ascii="仿宋" w:hAnsi="仿宋" w:eastAsia="仿宋" w:cs="楷体"/>
                <w:sz w:val="32"/>
                <w:szCs w:val="32"/>
              </w:rPr>
              <w:t>》等法律法规的规定。</w:t>
            </w:r>
          </w:p>
        </w:tc>
      </w:tr>
    </w:tbl>
    <w:p>
      <w:pPr>
        <w:pStyle w:val="3"/>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BoldMT">
    <w:altName w:val="Segoe Print"/>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0617"/>
    <w:multiLevelType w:val="singleLevel"/>
    <w:tmpl w:val="9A9F06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DE5NGYzNjAyOGEzOTE1ZGRhZjczNDZjOWZjNWQifQ=="/>
    <w:docVar w:name="KSO_WPS_MARK_KEY" w:val="37642d92-7dc8-4c2c-a6fc-4df5f91a8c92"/>
  </w:docVars>
  <w:rsids>
    <w:rsidRoot w:val="00172A27"/>
    <w:rsid w:val="0006417C"/>
    <w:rsid w:val="000A5D4F"/>
    <w:rsid w:val="00141CFF"/>
    <w:rsid w:val="0016366D"/>
    <w:rsid w:val="00163F51"/>
    <w:rsid w:val="00163F8E"/>
    <w:rsid w:val="00287090"/>
    <w:rsid w:val="002B65C5"/>
    <w:rsid w:val="003E318D"/>
    <w:rsid w:val="00435309"/>
    <w:rsid w:val="00477C7F"/>
    <w:rsid w:val="005E3BD5"/>
    <w:rsid w:val="00611173"/>
    <w:rsid w:val="00642579"/>
    <w:rsid w:val="007B395A"/>
    <w:rsid w:val="008C38F6"/>
    <w:rsid w:val="008D7832"/>
    <w:rsid w:val="008D7FCD"/>
    <w:rsid w:val="008E3935"/>
    <w:rsid w:val="00A95F96"/>
    <w:rsid w:val="00B66687"/>
    <w:rsid w:val="00BB37CE"/>
    <w:rsid w:val="00EF4EE1"/>
    <w:rsid w:val="00FC6F4D"/>
    <w:rsid w:val="016B1AA4"/>
    <w:rsid w:val="03480F78"/>
    <w:rsid w:val="0360181E"/>
    <w:rsid w:val="075742EE"/>
    <w:rsid w:val="0A4132CC"/>
    <w:rsid w:val="0E304627"/>
    <w:rsid w:val="0FB7422B"/>
    <w:rsid w:val="104C1654"/>
    <w:rsid w:val="115173B7"/>
    <w:rsid w:val="11C36901"/>
    <w:rsid w:val="12647608"/>
    <w:rsid w:val="14AD221A"/>
    <w:rsid w:val="18525D03"/>
    <w:rsid w:val="26302388"/>
    <w:rsid w:val="268336F1"/>
    <w:rsid w:val="28CD3785"/>
    <w:rsid w:val="2B734A7F"/>
    <w:rsid w:val="33954663"/>
    <w:rsid w:val="34BE7E7B"/>
    <w:rsid w:val="49965C35"/>
    <w:rsid w:val="49DC487F"/>
    <w:rsid w:val="54374743"/>
    <w:rsid w:val="5A5B11DA"/>
    <w:rsid w:val="5B21182B"/>
    <w:rsid w:val="61205B88"/>
    <w:rsid w:val="643917D5"/>
    <w:rsid w:val="64B537E8"/>
    <w:rsid w:val="64FD58B3"/>
    <w:rsid w:val="76130DDE"/>
    <w:rsid w:val="7891665D"/>
    <w:rsid w:val="7C4A2F98"/>
    <w:rsid w:val="7F2D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ind w:firstLine="630"/>
    </w:pPr>
  </w:style>
  <w:style w:type="paragraph" w:styleId="3">
    <w:name w:val="Block Text"/>
    <w:basedOn w:val="1"/>
    <w:qFormat/>
    <w:uiPriority w:val="0"/>
    <w:pPr>
      <w:ind w:left="1" w:right="-187" w:rightChars="-55" w:hanging="1"/>
      <w:jc w:val="center"/>
    </w:pPr>
    <w:rPr>
      <w:rFonts w:eastAsia="宋体"/>
      <w:b/>
      <w:w w:val="90"/>
      <w:sz w:val="24"/>
      <w:szCs w:val="5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Body Text First Indent 2"/>
    <w:basedOn w:val="2"/>
    <w:next w:val="1"/>
    <w:qFormat/>
    <w:uiPriority w:val="0"/>
    <w:pPr>
      <w:spacing w:after="120"/>
      <w:ind w:left="200" w:leftChars="200" w:firstLine="200" w:firstLineChars="200"/>
    </w:pPr>
    <w:rPr>
      <w:rFonts w:hAnsi="Calibri"/>
      <w:szCs w:val="21"/>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 w:type="paragraph" w:customStyle="1" w:styleId="14">
    <w:name w:val="正文-段落"/>
    <w:qFormat/>
    <w:uiPriority w:val="0"/>
    <w:pPr>
      <w:spacing w:line="360" w:lineRule="auto"/>
    </w:pPr>
    <w:rPr>
      <w:rFonts w:ascii="Times New Roman" w:hAnsi="Times New Roman" w:eastAsia="宋体" w:cs="宋体"/>
      <w:sz w:val="24"/>
      <w:szCs w:val="24"/>
      <w:lang w:val="en-GB" w:eastAsia="zh-CN" w:bidi="ar-SA"/>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2029</Words>
  <Characters>2106</Characters>
  <Lines>12</Lines>
  <Paragraphs>3</Paragraphs>
  <TotalTime>1</TotalTime>
  <ScaleCrop>false</ScaleCrop>
  <LinksUpToDate>false</LinksUpToDate>
  <CharactersWithSpaces>2107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701-JKB</cp:lastModifiedBy>
  <dcterms:modified xsi:type="dcterms:W3CDTF">2024-12-10T02:00:45Z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31974D14251541F48A0614801B4BC91F_13</vt:lpwstr>
  </property>
</Properties>
</file>