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C9D41">
      <w:pPr>
        <w:spacing w:line="360" w:lineRule="auto"/>
        <w:rPr>
          <w:b w:val="0"/>
          <w:bCs w:val="0"/>
          <w:kern w:val="0"/>
          <w:sz w:val="24"/>
          <w:szCs w:val="2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4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24"/>
          <w:szCs w:val="24"/>
          <w:lang w:val="en-US" w:eastAsia="zh-CN"/>
        </w:rPr>
        <w:t>1</w:t>
      </w:r>
      <w:r>
        <w:rPr>
          <w:rFonts w:hint="eastAsia"/>
          <w:b w:val="0"/>
          <w:bCs w:val="0"/>
          <w:kern w:val="0"/>
          <w:sz w:val="24"/>
          <w:szCs w:val="24"/>
        </w:rPr>
        <w:t xml:space="preserve"> </w:t>
      </w:r>
    </w:p>
    <w:p w14:paraId="46D8903D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广东省汕头生态环境监测中心站</w:t>
      </w:r>
    </w:p>
    <w:p w14:paraId="59AFC21A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年VOCs走航监测车运维服务</w:t>
      </w:r>
    </w:p>
    <w:p w14:paraId="6EB7FC73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征求信息表</w:t>
      </w:r>
    </w:p>
    <w:p w14:paraId="52DB4119">
      <w:pPr>
        <w:pStyle w:val="16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p w14:paraId="289CBE97">
      <w:pPr>
        <w:spacing w:line="560" w:lineRule="exact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1、运维服务总体目标</w:t>
      </w:r>
    </w:p>
    <w:p w14:paraId="6C6B4C77">
      <w:pPr>
        <w:pStyle w:val="17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202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年度汕头市VOCs走航监测车运维服务时间为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自合同签订后1年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，服务包含：仪器设备维护、质保、耗材与数据分析等。</w:t>
      </w:r>
    </w:p>
    <w:p w14:paraId="0ADEAC4A">
      <w:pPr>
        <w:spacing w:line="560" w:lineRule="exact"/>
        <w:outlineLvl w:val="9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</w:rPr>
        <w:t>2、主要设备情况</w:t>
      </w:r>
    </w:p>
    <w:p w14:paraId="6D5969CC">
      <w:pPr>
        <w:pStyle w:val="17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现有车辆情况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</w:t>
      </w:r>
    </w:p>
    <w:p w14:paraId="2610886C">
      <w:pPr>
        <w:pStyle w:val="17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移动监测车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1辆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：亚特重工 TZ5040XJENJDC5，1辆（20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0年购置，已过质保期，现车辆使用正常）</w:t>
      </w:r>
    </w:p>
    <w:p w14:paraId="2D113027">
      <w:pPr>
        <w:pStyle w:val="17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eastAsia="zh-CN"/>
        </w:rPr>
        <w:t>现有设备情况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：</w:t>
      </w:r>
    </w:p>
    <w:p w14:paraId="1370A071">
      <w:pPr>
        <w:pStyle w:val="17"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）在线VOCs质谱仪：禾信SPI-MS 2000，1台（20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/>
        </w:rPr>
        <w:t>0年购置，已过质保期，现仪器使用正常）</w:t>
      </w:r>
    </w:p>
    <w:p w14:paraId="6C622456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）车载式大气采样系统：</w:t>
      </w:r>
      <w:r>
        <w:rPr>
          <w:rFonts w:hint="eastAsia" w:ascii="仿宋_GB2312" w:hAnsi="仿宋_GB2312" w:eastAsia="仿宋_GB2312" w:cs="仿宋_GB2312"/>
          <w:sz w:val="32"/>
          <w:szCs w:val="32"/>
        </w:rPr>
        <w:t>禾信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AQSS2903，1套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（已过质保期，现仪器使用正常）</w:t>
      </w:r>
    </w:p>
    <w:p w14:paraId="0BF64A1B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）车载式五参数气象站：</w:t>
      </w:r>
      <w:r>
        <w:rPr>
          <w:rFonts w:hint="eastAsia" w:ascii="仿宋_GB2312" w:hAnsi="仿宋_GB2312" w:eastAsia="仿宋_GB2312" w:cs="仿宋_GB2312"/>
          <w:sz w:val="32"/>
          <w:szCs w:val="32"/>
        </w:rPr>
        <w:t>新普惠PH-V-C，1套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（已过质保期，现仪器使用正常）</w:t>
      </w:r>
    </w:p>
    <w:p w14:paraId="2D7B1B93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）便携式标气稀释校准仪：</w:t>
      </w:r>
      <w:r>
        <w:rPr>
          <w:rFonts w:hint="eastAsia" w:ascii="仿宋_GB2312" w:hAnsi="仿宋_GB2312" w:eastAsia="仿宋_GB2312" w:cs="仿宋_GB2312"/>
          <w:sz w:val="32"/>
          <w:szCs w:val="32"/>
        </w:rPr>
        <w:t>禾信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DSG-1000，1套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（已过质保期，现仪器使用正常）</w:t>
      </w:r>
    </w:p>
    <w:p w14:paraId="560A4471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430C9915"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bCs w:val="0"/>
          <w:kern w:val="0"/>
          <w:sz w:val="32"/>
          <w:szCs w:val="32"/>
        </w:rPr>
      </w:pPr>
    </w:p>
    <w:p w14:paraId="3F411406">
      <w:pPr>
        <w:numPr>
          <w:ilvl w:val="-1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3、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运维服务要求调研表</w:t>
      </w:r>
    </w:p>
    <w:tbl>
      <w:tblPr>
        <w:tblStyle w:val="12"/>
        <w:tblW w:w="82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973"/>
        <w:gridCol w:w="1985"/>
        <w:gridCol w:w="1494"/>
      </w:tblGrid>
      <w:tr w14:paraId="2990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46" w:type="dxa"/>
            <w:vAlign w:val="center"/>
          </w:tcPr>
          <w:p w14:paraId="1F389137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3973" w:type="dxa"/>
            <w:vAlign w:val="center"/>
          </w:tcPr>
          <w:p w14:paraId="6F1037A1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运维服务要求</w:t>
            </w:r>
          </w:p>
        </w:tc>
        <w:tc>
          <w:tcPr>
            <w:tcW w:w="1985" w:type="dxa"/>
            <w:vAlign w:val="center"/>
          </w:tcPr>
          <w:p w14:paraId="7D086407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保障情况</w:t>
            </w:r>
          </w:p>
        </w:tc>
        <w:tc>
          <w:tcPr>
            <w:tcW w:w="1494" w:type="dxa"/>
            <w:vAlign w:val="center"/>
          </w:tcPr>
          <w:p w14:paraId="1CC440E9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备注</w:t>
            </w:r>
          </w:p>
        </w:tc>
      </w:tr>
      <w:tr w14:paraId="377DD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46" w:type="dxa"/>
            <w:vAlign w:val="center"/>
          </w:tcPr>
          <w:p w14:paraId="67DF2BC3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3973" w:type="dxa"/>
            <w:vAlign w:val="center"/>
          </w:tcPr>
          <w:p w14:paraId="662630D2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服务包含：仪器设备维护、质保、耗材与数据分析等内容（不包含车辆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eastAsia="zh-CN"/>
              </w:rPr>
              <w:t>基础保养维护、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油费、路费）。</w:t>
            </w:r>
          </w:p>
        </w:tc>
        <w:tc>
          <w:tcPr>
            <w:tcW w:w="1985" w:type="dxa"/>
            <w:vAlign w:val="center"/>
          </w:tcPr>
          <w:p w14:paraId="2B39C97A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3A8CD599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7D8D99F0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FE348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5004573C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3973" w:type="dxa"/>
            <w:vAlign w:val="center"/>
          </w:tcPr>
          <w:p w14:paraId="3E75D938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针对本项目制定科学的实施方案</w:t>
            </w:r>
          </w:p>
        </w:tc>
        <w:tc>
          <w:tcPr>
            <w:tcW w:w="1985" w:type="dxa"/>
            <w:vAlign w:val="center"/>
          </w:tcPr>
          <w:p w14:paraId="468C1311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可以提供</w:t>
            </w:r>
          </w:p>
          <w:p w14:paraId="4C4ECF0A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无法提供</w:t>
            </w:r>
          </w:p>
        </w:tc>
        <w:tc>
          <w:tcPr>
            <w:tcW w:w="1494" w:type="dxa"/>
            <w:vAlign w:val="center"/>
          </w:tcPr>
          <w:p w14:paraId="7C16A7AE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7715BC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32EA9472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3973" w:type="dxa"/>
            <w:vAlign w:val="center"/>
          </w:tcPr>
          <w:p w14:paraId="152854EF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针对本项目制定科学的运维方案</w:t>
            </w:r>
          </w:p>
        </w:tc>
        <w:tc>
          <w:tcPr>
            <w:tcW w:w="1985" w:type="dxa"/>
            <w:vAlign w:val="center"/>
          </w:tcPr>
          <w:p w14:paraId="770D34C1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可以提供</w:t>
            </w:r>
          </w:p>
          <w:p w14:paraId="0B7D47DA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无法提供</w:t>
            </w:r>
          </w:p>
        </w:tc>
        <w:tc>
          <w:tcPr>
            <w:tcW w:w="1494" w:type="dxa"/>
            <w:vAlign w:val="center"/>
          </w:tcPr>
          <w:p w14:paraId="32CA7A43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44F88D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052D5EBE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3973" w:type="dxa"/>
            <w:vAlign w:val="center"/>
          </w:tcPr>
          <w:p w14:paraId="64859236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针对本项目制定科学的质控方案</w:t>
            </w:r>
          </w:p>
        </w:tc>
        <w:tc>
          <w:tcPr>
            <w:tcW w:w="1985" w:type="dxa"/>
            <w:vAlign w:val="center"/>
          </w:tcPr>
          <w:p w14:paraId="3D1D76DC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可以提供</w:t>
            </w:r>
          </w:p>
          <w:p w14:paraId="2129A8CC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无法提供</w:t>
            </w:r>
          </w:p>
        </w:tc>
        <w:tc>
          <w:tcPr>
            <w:tcW w:w="1494" w:type="dxa"/>
            <w:vAlign w:val="center"/>
          </w:tcPr>
          <w:p w14:paraId="1C70034F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7E92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3" w:hRule="atLeast"/>
        </w:trPr>
        <w:tc>
          <w:tcPr>
            <w:tcW w:w="846" w:type="dxa"/>
            <w:vAlign w:val="center"/>
          </w:tcPr>
          <w:p w14:paraId="42451F7C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3973" w:type="dxa"/>
            <w:vAlign w:val="center"/>
          </w:tcPr>
          <w:p w14:paraId="754251E5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熟悉在线VOCs质谱仪、</w:t>
            </w:r>
            <w:r>
              <w:rPr>
                <w:rFonts w:hint="eastAsia" w:ascii="仿宋_GB2312" w:hAnsi="仿宋_GB2312" w:eastAsia="仿宋_GB2312" w:cs="仿宋_GB2312"/>
                <w:bCs/>
                <w:sz w:val="32"/>
                <w:szCs w:val="32"/>
              </w:rPr>
              <w:t>车载式大气采样系统、车载式五参数气象站，便携式标气稀释校准仪等设备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，能定期对设备运行参数、进样管路是否有污染残留或水汽残留进行检查，对金属过滤器进行反吹，对设备散热风扇、前级泵、真空规等易污染部件进行清洁。</w:t>
            </w:r>
          </w:p>
        </w:tc>
        <w:tc>
          <w:tcPr>
            <w:tcW w:w="1985" w:type="dxa"/>
            <w:vAlign w:val="center"/>
          </w:tcPr>
          <w:p w14:paraId="2099019B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5C9740CE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06A5C767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79FC9345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229F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46" w:type="dxa"/>
            <w:vAlign w:val="center"/>
          </w:tcPr>
          <w:p w14:paraId="55FD2304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973" w:type="dxa"/>
            <w:vAlign w:val="center"/>
          </w:tcPr>
          <w:p w14:paraId="6F992080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熟悉仪器质控校准流程和要求，每周定期对SPI-MS设备进行单点校准。要求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异戊二烯、苯、甲苯、苯乙烯、正癸烷5种不同质核比的物质浓度相对标准偏差≤15%。</w:t>
            </w:r>
          </w:p>
        </w:tc>
        <w:tc>
          <w:tcPr>
            <w:tcW w:w="1985" w:type="dxa"/>
            <w:vAlign w:val="center"/>
          </w:tcPr>
          <w:p w14:paraId="1D4FEAAA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0F4519B8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2A45112B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B61D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1" w:hRule="atLeast"/>
        </w:trPr>
        <w:tc>
          <w:tcPr>
            <w:tcW w:w="846" w:type="dxa"/>
            <w:vAlign w:val="center"/>
          </w:tcPr>
          <w:p w14:paraId="0D73BE20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7</w:t>
            </w:r>
          </w:p>
        </w:tc>
        <w:tc>
          <w:tcPr>
            <w:tcW w:w="3973" w:type="dxa"/>
            <w:vAlign w:val="center"/>
          </w:tcPr>
          <w:p w14:paraId="3E03CC3A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熟悉仪器质控校准流程和要求，每月定期对SPI-MS设备进行多点校准并更新标准曲线。要求指定的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36种校准因子（见附表）中80%占比的因子标准曲线相关系数R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superscript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≥0.99。</w:t>
            </w:r>
          </w:p>
        </w:tc>
        <w:tc>
          <w:tcPr>
            <w:tcW w:w="1985" w:type="dxa"/>
            <w:vAlign w:val="center"/>
          </w:tcPr>
          <w:p w14:paraId="669EAEF4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1C428E76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7A15A0B4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E309B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3B005A3A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8</w:t>
            </w:r>
          </w:p>
        </w:tc>
        <w:tc>
          <w:tcPr>
            <w:tcW w:w="3973" w:type="dxa"/>
            <w:vAlign w:val="center"/>
          </w:tcPr>
          <w:p w14:paraId="3E1172EE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每年能提供走航保障的天数（走航区域由采购方指定）。</w:t>
            </w:r>
          </w:p>
        </w:tc>
        <w:tc>
          <w:tcPr>
            <w:tcW w:w="1985" w:type="dxa"/>
            <w:vAlign w:val="center"/>
          </w:tcPr>
          <w:p w14:paraId="36923709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u w:val="single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  <w:t>天</w:t>
            </w: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以上</w:t>
            </w:r>
          </w:p>
        </w:tc>
        <w:tc>
          <w:tcPr>
            <w:tcW w:w="1494" w:type="dxa"/>
            <w:vAlign w:val="center"/>
          </w:tcPr>
          <w:p w14:paraId="17AB22C2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45024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023FE1FA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9</w:t>
            </w:r>
          </w:p>
        </w:tc>
        <w:tc>
          <w:tcPr>
            <w:tcW w:w="3973" w:type="dxa"/>
            <w:vAlign w:val="center"/>
          </w:tcPr>
          <w:p w14:paraId="3C802FDE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在不良天气应对期间，能够满足加密走航的要求。</w:t>
            </w:r>
          </w:p>
        </w:tc>
        <w:tc>
          <w:tcPr>
            <w:tcW w:w="1985" w:type="dxa"/>
            <w:vAlign w:val="center"/>
          </w:tcPr>
          <w:p w14:paraId="1476274E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57C6A16C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2EFE2D64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24597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1B7FC60F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10</w:t>
            </w:r>
          </w:p>
        </w:tc>
        <w:tc>
          <w:tcPr>
            <w:tcW w:w="3973" w:type="dxa"/>
            <w:vAlign w:val="center"/>
          </w:tcPr>
          <w:p w14:paraId="2E49269F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能在在夜间及节假日期间开展走航工作。</w:t>
            </w:r>
          </w:p>
        </w:tc>
        <w:tc>
          <w:tcPr>
            <w:tcW w:w="1985" w:type="dxa"/>
            <w:vAlign w:val="center"/>
          </w:tcPr>
          <w:p w14:paraId="57F4AF4C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413B9222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5284C9DE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1A1E3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473FB251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973" w:type="dxa"/>
            <w:vAlign w:val="center"/>
          </w:tcPr>
          <w:p w14:paraId="3C829302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发生应急监测时，能迅速配合相关工作，第一时间赶到应急现场。</w:t>
            </w:r>
          </w:p>
        </w:tc>
        <w:tc>
          <w:tcPr>
            <w:tcW w:w="1985" w:type="dxa"/>
            <w:vAlign w:val="center"/>
          </w:tcPr>
          <w:p w14:paraId="5F6F416E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10223DA9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5AC9FD60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006DD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46" w:type="dxa"/>
            <w:vAlign w:val="center"/>
          </w:tcPr>
          <w:p w14:paraId="0C38277B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973" w:type="dxa"/>
            <w:vAlign w:val="center"/>
          </w:tcPr>
          <w:p w14:paraId="00E13635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在运维服务期间，运营公司需采购PAMS、TO14、有机硫标气，并保障气体有效性覆盖服务时间（具体标气相关情况见附表）。</w:t>
            </w:r>
          </w:p>
        </w:tc>
        <w:tc>
          <w:tcPr>
            <w:tcW w:w="1985" w:type="dxa"/>
            <w:vAlign w:val="center"/>
          </w:tcPr>
          <w:p w14:paraId="289FE8FA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542437EA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04D323F5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3C93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5FF72713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973" w:type="dxa"/>
            <w:vAlign w:val="center"/>
          </w:tcPr>
          <w:p w14:paraId="488090E5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拟为本项目安排的负责人职称/学历情况</w:t>
            </w:r>
          </w:p>
        </w:tc>
        <w:tc>
          <w:tcPr>
            <w:tcW w:w="1985" w:type="dxa"/>
            <w:vAlign w:val="center"/>
          </w:tcPr>
          <w:p w14:paraId="00B389ED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 w14:paraId="7A9E0B34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0CC3B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0555E239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973" w:type="dxa"/>
            <w:vAlign w:val="center"/>
          </w:tcPr>
          <w:p w14:paraId="42425422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需至少配备2名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人员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一名司机，一名走航工程师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）配合设备运维及走航工作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。</w:t>
            </w:r>
          </w:p>
        </w:tc>
        <w:tc>
          <w:tcPr>
            <w:tcW w:w="1985" w:type="dxa"/>
            <w:vAlign w:val="center"/>
          </w:tcPr>
          <w:p w14:paraId="70706BB6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033780FF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739FBB3D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032E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846" w:type="dxa"/>
            <w:vAlign w:val="center"/>
          </w:tcPr>
          <w:p w14:paraId="42AA1100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15</w:t>
            </w:r>
          </w:p>
        </w:tc>
        <w:tc>
          <w:tcPr>
            <w:tcW w:w="3973" w:type="dxa"/>
            <w:vAlign w:val="center"/>
          </w:tcPr>
          <w:p w14:paraId="319DE619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拟为本项目安排的走航工程师职称/学历情况</w:t>
            </w:r>
          </w:p>
        </w:tc>
        <w:tc>
          <w:tcPr>
            <w:tcW w:w="1985" w:type="dxa"/>
            <w:vAlign w:val="center"/>
          </w:tcPr>
          <w:p w14:paraId="380BBCB1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494" w:type="dxa"/>
            <w:vAlign w:val="center"/>
          </w:tcPr>
          <w:p w14:paraId="088B508B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 w14:paraId="2B4C9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846" w:type="dxa"/>
            <w:vAlign w:val="center"/>
          </w:tcPr>
          <w:p w14:paraId="78187CC1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16</w:t>
            </w:r>
          </w:p>
        </w:tc>
        <w:tc>
          <w:tcPr>
            <w:tcW w:w="3973" w:type="dxa"/>
            <w:vAlign w:val="center"/>
          </w:tcPr>
          <w:p w14:paraId="3B6518C1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走航工程师要求具备相应的上岗能力，通过企业培训，能解决现场出现的问题和对数据进行分析。</w:t>
            </w:r>
          </w:p>
        </w:tc>
        <w:tc>
          <w:tcPr>
            <w:tcW w:w="1985" w:type="dxa"/>
            <w:vAlign w:val="center"/>
          </w:tcPr>
          <w:p w14:paraId="5A82E4C6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3E083370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33F75CEC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120B2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846" w:type="dxa"/>
            <w:vAlign w:val="center"/>
          </w:tcPr>
          <w:p w14:paraId="4605A4B3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973" w:type="dxa"/>
            <w:vAlign w:val="center"/>
          </w:tcPr>
          <w:p w14:paraId="01EAB9A5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每次走航均需要提供走航日报，每月需提供走航月报，每年需提供走航年报，应急走航提供应急走航报告。根据采购方需要提供另外报告。</w:t>
            </w:r>
          </w:p>
        </w:tc>
        <w:tc>
          <w:tcPr>
            <w:tcW w:w="1985" w:type="dxa"/>
            <w:vAlign w:val="center"/>
          </w:tcPr>
          <w:p w14:paraId="44CB9A13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6B2C40A8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7B5DB56C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6C01D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846" w:type="dxa"/>
            <w:vAlign w:val="center"/>
          </w:tcPr>
          <w:p w14:paraId="09C70C5F">
            <w:pPr>
              <w:pStyle w:val="3"/>
              <w:adjustRightInd w:val="0"/>
              <w:snapToGrid w:val="0"/>
              <w:spacing w:after="0"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973" w:type="dxa"/>
            <w:vAlign w:val="center"/>
          </w:tcPr>
          <w:p w14:paraId="7EBE1D79">
            <w:pPr>
              <w:pStyle w:val="3"/>
              <w:adjustRightInd w:val="0"/>
              <w:snapToGrid w:val="0"/>
              <w:spacing w:after="0" w:line="240" w:lineRule="auto"/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若设备出现故障，需在接报后4小时内响应。</w:t>
            </w:r>
          </w:p>
        </w:tc>
        <w:tc>
          <w:tcPr>
            <w:tcW w:w="1985" w:type="dxa"/>
            <w:vAlign w:val="center"/>
          </w:tcPr>
          <w:p w14:paraId="21188550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可以保障</w:t>
            </w:r>
          </w:p>
          <w:p w14:paraId="05C97303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无法保障</w:t>
            </w:r>
          </w:p>
        </w:tc>
        <w:tc>
          <w:tcPr>
            <w:tcW w:w="1494" w:type="dxa"/>
            <w:vAlign w:val="center"/>
          </w:tcPr>
          <w:p w14:paraId="19067B0E">
            <w:pPr>
              <w:pStyle w:val="3"/>
              <w:adjustRightInd w:val="0"/>
              <w:snapToGrid w:val="0"/>
              <w:spacing w:after="0"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6E3ABCC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E0F149E">
      <w:pPr>
        <w:numPr>
          <w:ilvl w:val="0"/>
          <w:numId w:val="0"/>
        </w:numPr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4、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供应商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情况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调研表</w:t>
      </w:r>
    </w:p>
    <w:tbl>
      <w:tblPr>
        <w:tblStyle w:val="12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2410"/>
        <w:gridCol w:w="5040"/>
      </w:tblGrid>
      <w:tr w14:paraId="77F4FB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 w14:paraId="66961377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2410" w:type="dxa"/>
          </w:tcPr>
          <w:p w14:paraId="72354EF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调研内容</w:t>
            </w:r>
          </w:p>
        </w:tc>
        <w:tc>
          <w:tcPr>
            <w:tcW w:w="5040" w:type="dxa"/>
          </w:tcPr>
          <w:p w14:paraId="63FE42DF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供应商情况</w:t>
            </w:r>
          </w:p>
        </w:tc>
      </w:tr>
      <w:tr w14:paraId="519AAA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6" w:hRule="atLeast"/>
        </w:trPr>
        <w:tc>
          <w:tcPr>
            <w:tcW w:w="846" w:type="dxa"/>
            <w:vAlign w:val="center"/>
          </w:tcPr>
          <w:p w14:paraId="1CEC636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1</w:t>
            </w:r>
          </w:p>
        </w:tc>
        <w:tc>
          <w:tcPr>
            <w:tcW w:w="2410" w:type="dxa"/>
            <w:vAlign w:val="center"/>
          </w:tcPr>
          <w:p w14:paraId="3A21A7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供应商简介</w:t>
            </w:r>
          </w:p>
        </w:tc>
        <w:tc>
          <w:tcPr>
            <w:tcW w:w="5040" w:type="dxa"/>
          </w:tcPr>
          <w:p w14:paraId="050A574C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5C3559F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6459621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DD3C597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48E4A946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5FC1DC1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37FD92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1DEC855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2410" w:type="dxa"/>
            <w:vAlign w:val="center"/>
          </w:tcPr>
          <w:p w14:paraId="6D91BE8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公司规模（行业：其他未列明行业）</w:t>
            </w:r>
          </w:p>
        </w:tc>
        <w:tc>
          <w:tcPr>
            <w:tcW w:w="5040" w:type="dxa"/>
            <w:vAlign w:val="center"/>
          </w:tcPr>
          <w:p w14:paraId="5EFE95D5">
            <w:pPr>
              <w:pStyle w:val="3"/>
              <w:adjustRightInd w:val="0"/>
              <w:snapToGrid w:val="0"/>
              <w:spacing w:after="0" w:line="240" w:lineRule="auto"/>
              <w:ind w:firstLine="0" w:firstLineChars="0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大型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中型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小型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微型</w:t>
            </w:r>
          </w:p>
        </w:tc>
      </w:tr>
      <w:tr w14:paraId="2CD544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6E47B5C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2410" w:type="dxa"/>
            <w:vAlign w:val="center"/>
          </w:tcPr>
          <w:p w14:paraId="6F60C72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管理认证情况</w:t>
            </w:r>
          </w:p>
          <w:p w14:paraId="2A345188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（列明具体认证证书）</w:t>
            </w:r>
          </w:p>
        </w:tc>
        <w:tc>
          <w:tcPr>
            <w:tcW w:w="5040" w:type="dxa"/>
          </w:tcPr>
          <w:p w14:paraId="03C47D2C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77F6CDF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35B44FF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293F587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4791A1F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73A833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781D791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2410" w:type="dxa"/>
            <w:vAlign w:val="center"/>
          </w:tcPr>
          <w:p w14:paraId="0288FE8F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同类型设备运维服务业绩情况（请以附件形式提供具体同类型业绩清单（包括客户名称、项目名称及合同金额、实施时间）及中标通知书）</w:t>
            </w:r>
          </w:p>
        </w:tc>
        <w:tc>
          <w:tcPr>
            <w:tcW w:w="5040" w:type="dxa"/>
          </w:tcPr>
          <w:p w14:paraId="6571DFE9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0F5ED80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16C83EF0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7631C123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361DBF3C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 w14:paraId="58CE81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vAlign w:val="center"/>
          </w:tcPr>
          <w:p w14:paraId="2BEEA9B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5</w:t>
            </w:r>
          </w:p>
        </w:tc>
        <w:tc>
          <w:tcPr>
            <w:tcW w:w="2410" w:type="dxa"/>
            <w:vAlign w:val="center"/>
          </w:tcPr>
          <w:p w14:paraId="1884CC2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其他说明</w:t>
            </w:r>
          </w:p>
        </w:tc>
        <w:tc>
          <w:tcPr>
            <w:tcW w:w="5040" w:type="dxa"/>
          </w:tcPr>
          <w:p w14:paraId="59E67EE3">
            <w:pPr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  <w:p w14:paraId="6E9191A5">
            <w:pPr>
              <w:pStyle w:val="10"/>
              <w:spacing w:line="240" w:lineRule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 w14:paraId="271BB9B4"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4D5AA43">
      <w:pPr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0DB33259">
      <w:pPr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481C5D66">
      <w:pPr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1A857850">
      <w:pPr>
        <w:spacing w:line="560" w:lineRule="exact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</w:pPr>
    </w:p>
    <w:p w14:paraId="06047364">
      <w:pPr>
        <w:spacing w:line="560" w:lineRule="exac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5、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服务报价调研</w:t>
      </w:r>
    </w:p>
    <w:p w14:paraId="34BC9AE0">
      <w:pPr>
        <w:pStyle w:val="3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供应商运维服务报价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（万元）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               </w:t>
      </w:r>
    </w:p>
    <w:p w14:paraId="023182C4">
      <w:pPr>
        <w:pStyle w:val="4"/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6CD966F3">
      <w:pPr>
        <w:pStyle w:val="4"/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4F1F2C">
      <w:pPr>
        <w:pStyle w:val="4"/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405D41">
      <w:pPr>
        <w:pStyle w:val="4"/>
        <w:spacing w:line="560" w:lineRule="exact"/>
        <w:ind w:firstLine="3520" w:firstLineChars="1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供应商名称（盖章）：</w:t>
      </w:r>
    </w:p>
    <w:p w14:paraId="31CBEBA8">
      <w:pPr>
        <w:pStyle w:val="4"/>
        <w:spacing w:line="560" w:lineRule="exact"/>
        <w:ind w:firstLine="3520" w:firstLineChars="1100"/>
        <w:rPr>
          <w:rFonts w:ascii="仿宋_GB2312" w:hAnsi="仿宋_GB2312" w:eastAsia="仿宋_GB2312" w:cs="仿宋_GB2312"/>
          <w:b/>
          <w:bCs/>
          <w:color w:val="000000"/>
          <w:sz w:val="32"/>
          <w:szCs w:val="32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  <w:bookmarkStart w:id="0" w:name="_Hlk134398776"/>
    </w:p>
    <w:p w14:paraId="43858930">
      <w:pPr>
        <w:adjustRightInd w:val="0"/>
        <w:snapToGrid w:val="0"/>
        <w:spacing w:line="360" w:lineRule="auto"/>
        <w:ind w:firstLine="783" w:firstLineChars="300"/>
        <w:rPr>
          <w:rFonts w:ascii="仿宋_GB2312" w:hAnsi="仿宋_GB2312" w:eastAsia="仿宋_GB2312" w:cs="仿宋_GB2312"/>
          <w:b/>
          <w:bCs/>
          <w:color w:val="000000"/>
          <w:sz w:val="26"/>
          <w:szCs w:val="2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26"/>
          <w:szCs w:val="26"/>
        </w:rPr>
        <w:t>附表                             PAMS、TO14和有机硫标气相关信息</w:t>
      </w:r>
    </w:p>
    <w:tbl>
      <w:tblPr>
        <w:tblStyle w:val="12"/>
        <w:tblW w:w="12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34"/>
        <w:gridCol w:w="4316"/>
        <w:gridCol w:w="4008"/>
        <w:gridCol w:w="2580"/>
      </w:tblGrid>
      <w:tr w14:paraId="54D0C7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9D8D1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标气名称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AE1A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PAMS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9641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TO14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7A98B0F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有机硫</w:t>
            </w:r>
          </w:p>
        </w:tc>
      </w:tr>
      <w:tr w14:paraId="0DDA0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920C9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厂家编号（GBW号或GSB号）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998C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GBW(E)062981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118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GBW(E)062376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4D3522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BW(DT)0130</w:t>
            </w:r>
          </w:p>
        </w:tc>
      </w:tr>
      <w:tr w14:paraId="13A9F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A54D3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规格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1383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8L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7F504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8L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4D77625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8L</w:t>
            </w:r>
          </w:p>
        </w:tc>
      </w:tr>
      <w:tr w14:paraId="793B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E5CF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组份数量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79C1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57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D18E0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41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061D20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9</w:t>
            </w:r>
          </w:p>
        </w:tc>
      </w:tr>
      <w:tr w14:paraId="56F5C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3D4F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组份名称</w:t>
            </w:r>
          </w:p>
        </w:tc>
        <w:tc>
          <w:tcPr>
            <w:tcW w:w="4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4B70D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乙烯,乙炔,乙烷,丙烯,丙烷,异丁烷,1-丁烯,正丁烷,反-2-丁烯,顺-2-丁烯,异戊烷,1-戊烯,戊烷,异戊二烯,反-2-戊烯,顺-2-戊烯,2.2二甲基丁烷,环戊烷,2.3二甲基丁烷,2-甲基戊烷,3-甲基戊烷,己烯,正己烷,甲基环戊烷,2.4二甲基戊烷,苯,环己烷,2-甲基己烷,2.3二甲基戊烷,3-甲基己烷,2.2.4-三甲基戊烷,正庚烷,甲基环己烷,2.3.4三甲基戊烷,甲苯,2-甲基庚烷,3-甲基庚烷,正辛烷,乙苯,对二甲苯,间二甲苯,苯乙烯,邻二甲苯,正壬烷,异丙苯,丙苯,间甲乙苯,对甲乙苯,1.3.5三甲基,邻甲乙苯,1.2.4三甲基苯  ,正癸烷,1.2.3三甲基,间二乙苯,对二乙苯,正十一烷,正十二烷</w:t>
            </w:r>
          </w:p>
        </w:tc>
        <w:tc>
          <w:tcPr>
            <w:tcW w:w="4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9958A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苯乙烯，乙烯，氯苯，甲苯，苯，四氯乙烯，1,2-二氯乙烷，三氯乙烯，1,1,2-三氯乙烷，1,1,1-三氯乙烷，1,2-二溴乙烷，1.2-二氯丙烷，六氯-1,3-丁二烯，1,2,4-三氯苯，1,2,4-三甲苯，1,3,5-三甲苯，间二氯苯，邻二氯苯，对二氯苯，对甲乙苯，邻二甲苯，间二甲苯，对二甲苯，1,1,2,2-四氯乙烷，顺-1,3-二氯丙烯，反-1,3-二氯丙烯，四氟二氯乙烷，二氟二氯甲烷，溴甲烷 ，氯甲烷，氯乙烯 ，氯乙烷，三氯氟甲烷 ，1,3-丁二烯，丙烯腈 ，三氟三氯乙烷，1,1-二氯乙烷，四氯化碳，三氯甲烷，1,1-二氯乙烯，顺-1,2-二氯乙烯，二氯甲烷，氯丙烯</w:t>
            </w:r>
          </w:p>
        </w:tc>
        <w:tc>
          <w:tcPr>
            <w:tcW w:w="2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3842680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二硫化碳、甲硫醇、甲硫醚、乙硫醇、乙硫醚、丙硫醇、丁硫醇、己硫醇、二甲基二硫醚</w:t>
            </w:r>
          </w:p>
        </w:tc>
      </w:tr>
      <w:tr w14:paraId="6460B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593AA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  <w:t>需进行多点校准的36种组分</w:t>
            </w:r>
          </w:p>
        </w:tc>
        <w:tc>
          <w:tcPr>
            <w:tcW w:w="10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</w:tcPr>
          <w:p w14:paraId="4AFBF591">
            <w:pPr>
              <w:jc w:val="both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丁烯、异戊二烯、戊烯、苯、己烯/甲基环戊烷、正己烷、二甲基丁烷、甲苯、甲基环己烷、正庚烷、苯乙烯、二甲苯/乙苯、正辛烷、三甲苯/丙苯、壬烷/萘、二乙基苯、正癸烷、十一烷、正十二烷、1,3-丁二烯、1,1-二氯乙烯、1,3-二氯丙烯、氯苯、三氯乙烯、三氯乙烷、二氯苯、四氯乙烯、1,1,2,2-四氯乙烷、1,2,4-三氯苯、1,2-二溴乙烷、六氯-1,3-丁二烯、甲硫醇、甲硫醚/乙硫醇、二硫化碳/丙硫醇、乙硫醚/丁硫醇、二甲基二硫醚、己硫醇</w:t>
            </w:r>
          </w:p>
        </w:tc>
      </w:tr>
      <w:bookmarkEnd w:id="0"/>
    </w:tbl>
    <w:p w14:paraId="48AEE771">
      <w:pPr>
        <w:pStyle w:val="4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20186172"/>
    </w:sdtPr>
    <w:sdtContent>
      <w:p w14:paraId="01BF65BA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04531BE4"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ODIxM2UzYjQwZTcwYmRkZmRjYzg3ODIyN2I4NzEifQ=="/>
  </w:docVars>
  <w:rsids>
    <w:rsidRoot w:val="00CE7EA1"/>
    <w:rsid w:val="001457A3"/>
    <w:rsid w:val="001601C9"/>
    <w:rsid w:val="002C0FDA"/>
    <w:rsid w:val="002D38C1"/>
    <w:rsid w:val="003469ED"/>
    <w:rsid w:val="005B3299"/>
    <w:rsid w:val="005D147A"/>
    <w:rsid w:val="006F657B"/>
    <w:rsid w:val="00725F5D"/>
    <w:rsid w:val="00755342"/>
    <w:rsid w:val="007554EF"/>
    <w:rsid w:val="007E45CF"/>
    <w:rsid w:val="008875C2"/>
    <w:rsid w:val="00945B2D"/>
    <w:rsid w:val="00A7594A"/>
    <w:rsid w:val="00B26FBD"/>
    <w:rsid w:val="00C26A0B"/>
    <w:rsid w:val="00C67132"/>
    <w:rsid w:val="00CE7EA1"/>
    <w:rsid w:val="00DC7457"/>
    <w:rsid w:val="00ED1D12"/>
    <w:rsid w:val="00ED6CFC"/>
    <w:rsid w:val="00EF6495"/>
    <w:rsid w:val="00F7717D"/>
    <w:rsid w:val="00F909CF"/>
    <w:rsid w:val="00F9104D"/>
    <w:rsid w:val="02C812C6"/>
    <w:rsid w:val="07D02F01"/>
    <w:rsid w:val="0FA60726"/>
    <w:rsid w:val="100C0B7D"/>
    <w:rsid w:val="17352856"/>
    <w:rsid w:val="18632459"/>
    <w:rsid w:val="1A6C5A30"/>
    <w:rsid w:val="1AB639D1"/>
    <w:rsid w:val="1B894D7C"/>
    <w:rsid w:val="1DD20EDA"/>
    <w:rsid w:val="20DF4A5D"/>
    <w:rsid w:val="23C62205"/>
    <w:rsid w:val="260C41D8"/>
    <w:rsid w:val="3C6B595F"/>
    <w:rsid w:val="47632A02"/>
    <w:rsid w:val="4CC02F10"/>
    <w:rsid w:val="4E761CD5"/>
    <w:rsid w:val="522E10C6"/>
    <w:rsid w:val="658B4F44"/>
    <w:rsid w:val="6B965B49"/>
    <w:rsid w:val="6BC50FE0"/>
    <w:rsid w:val="70B6625B"/>
    <w:rsid w:val="7698330F"/>
    <w:rsid w:val="7A5F0EBE"/>
    <w:rsid w:val="7FDA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3"/>
    <w:qFormat/>
    <w:uiPriority w:val="0"/>
    <w:pPr>
      <w:jc w:val="left"/>
    </w:pPr>
  </w:style>
  <w:style w:type="paragraph" w:styleId="3">
    <w:name w:val="Body Text"/>
    <w:basedOn w:val="1"/>
    <w:next w:val="4"/>
    <w:link w:val="22"/>
    <w:unhideWhenUsed/>
    <w:qFormat/>
    <w:uiPriority w:val="99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Calibri" w:hAnsi="Calibri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line="560" w:lineRule="exact"/>
      <w:ind w:left="300"/>
    </w:pPr>
    <w:rPr>
      <w:sz w:val="24"/>
    </w:rPr>
  </w:style>
  <w:style w:type="paragraph" w:styleId="7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2"/>
    <w:next w:val="2"/>
    <w:link w:val="24"/>
    <w:qFormat/>
    <w:uiPriority w:val="0"/>
    <w:rPr>
      <w:b/>
      <w:bCs/>
    </w:rPr>
  </w:style>
  <w:style w:type="paragraph" w:styleId="10">
    <w:name w:val="Body Text First Indent 2"/>
    <w:basedOn w:val="6"/>
    <w:next w:val="1"/>
    <w:link w:val="21"/>
    <w:unhideWhenUsed/>
    <w:qFormat/>
    <w:uiPriority w:val="99"/>
    <w:pPr>
      <w:spacing w:after="120"/>
      <w:ind w:left="420" w:leftChars="200"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character" w:styleId="15">
    <w:name w:val="annotation reference"/>
    <w:basedOn w:val="13"/>
    <w:qFormat/>
    <w:uiPriority w:val="0"/>
    <w:rPr>
      <w:sz w:val="21"/>
      <w:szCs w:val="21"/>
    </w:rPr>
  </w:style>
  <w:style w:type="paragraph" w:customStyle="1" w:styleId="16">
    <w:name w:val="paragraph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</w:rPr>
  </w:style>
  <w:style w:type="paragraph" w:customStyle="1" w:styleId="17">
    <w:name w:val="首行缩进"/>
    <w:basedOn w:val="1"/>
    <w:qFormat/>
    <w:uiPriority w:val="0"/>
    <w:pPr>
      <w:ind w:firstLine="480" w:firstLineChars="200"/>
    </w:pPr>
    <w:rPr>
      <w:lang w:val="zh-CN"/>
    </w:rPr>
  </w:style>
  <w:style w:type="character" w:customStyle="1" w:styleId="18">
    <w:name w:val="页眉 字符"/>
    <w:basedOn w:val="13"/>
    <w:link w:val="8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3"/>
    <w:link w:val="7"/>
    <w:qFormat/>
    <w:uiPriority w:val="99"/>
    <w:rPr>
      <w:kern w:val="2"/>
      <w:sz w:val="18"/>
      <w:szCs w:val="18"/>
    </w:rPr>
  </w:style>
  <w:style w:type="paragraph" w:customStyle="1" w:styleId="20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customStyle="1" w:styleId="21">
    <w:name w:val="正文文本首行缩进 2 字符"/>
    <w:basedOn w:val="13"/>
    <w:link w:val="10"/>
    <w:qFormat/>
    <w:uiPriority w:val="99"/>
    <w:rPr>
      <w:kern w:val="2"/>
      <w:sz w:val="24"/>
    </w:rPr>
  </w:style>
  <w:style w:type="character" w:customStyle="1" w:styleId="22">
    <w:name w:val="正文文本 字符"/>
    <w:basedOn w:val="13"/>
    <w:link w:val="3"/>
    <w:qFormat/>
    <w:uiPriority w:val="99"/>
    <w:rPr>
      <w:kern w:val="2"/>
      <w:sz w:val="21"/>
    </w:rPr>
  </w:style>
  <w:style w:type="character" w:customStyle="1" w:styleId="23">
    <w:name w:val="批注文字 字符"/>
    <w:basedOn w:val="13"/>
    <w:link w:val="2"/>
    <w:qFormat/>
    <w:uiPriority w:val="0"/>
    <w:rPr>
      <w:kern w:val="2"/>
      <w:sz w:val="21"/>
    </w:rPr>
  </w:style>
  <w:style w:type="character" w:customStyle="1" w:styleId="24">
    <w:name w:val="批注主题 字符"/>
    <w:basedOn w:val="23"/>
    <w:link w:val="9"/>
    <w:qFormat/>
    <w:uiPriority w:val="0"/>
    <w:rPr>
      <w:b/>
      <w:bCs/>
      <w:kern w:val="2"/>
      <w:sz w:val="21"/>
    </w:rPr>
  </w:style>
  <w:style w:type="paragraph" w:styleId="2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2117</Words>
  <Characters>2424</Characters>
  <Lines>19</Lines>
  <Paragraphs>5</Paragraphs>
  <TotalTime>0</TotalTime>
  <ScaleCrop>false</ScaleCrop>
  <LinksUpToDate>false</LinksUpToDate>
  <CharactersWithSpaces>2502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2023-10-25T02:57:00Z</dcterms:created>
  <dc:creator>user</dc:creator>
  <cp:lastModifiedBy>陈舒迟</cp:lastModifiedBy>
  <dcterms:modified xsi:type="dcterms:W3CDTF">2024-10-22T02:37:46Z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C56E88380694491A868D8CB5F477A070_12</vt:lpwstr>
  </property>
</Properties>
</file>