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18"/>
          <w:szCs w:val="18"/>
          <w:lang w:val="en-US" w:eastAsia="zh-CN"/>
        </w:rPr>
      </w:pPr>
      <w:bookmarkStart w:id="0" w:name="_GoBack"/>
      <w:r>
        <w:rPr>
          <w:rFonts w:hint="eastAsia" w:ascii="方正小标宋简体" w:hAnsi="方正小标宋简体" w:eastAsia="方正小标宋简体" w:cs="方正小标宋简体"/>
          <w:sz w:val="36"/>
          <w:szCs w:val="36"/>
          <w:lang w:val="en-US" w:eastAsia="zh-CN"/>
        </w:rPr>
        <w:t>2024年度“双随机、一公开”抽查工作计划（调整后）</w:t>
      </w:r>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500"/>
        <w:gridCol w:w="1046"/>
        <w:gridCol w:w="3535"/>
        <w:gridCol w:w="1410"/>
        <w:gridCol w:w="915"/>
        <w:gridCol w:w="935"/>
        <w:gridCol w:w="1007"/>
        <w:gridCol w:w="79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仿宋_GB2312"/>
                <w:b/>
                <w:bCs/>
                <w:sz w:val="24"/>
                <w:szCs w:val="24"/>
                <w:vertAlign w:val="baseline"/>
                <w:lang w:eastAsia="zh-CN"/>
              </w:rPr>
            </w:pPr>
            <w:r>
              <w:rPr>
                <w:rFonts w:hint="eastAsia"/>
                <w:b/>
                <w:bCs/>
                <w:sz w:val="24"/>
                <w:szCs w:val="24"/>
                <w:vertAlign w:val="baseline"/>
                <w:lang w:eastAsia="zh-CN"/>
              </w:rPr>
              <w:t>序号</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仿宋_GB2312"/>
                <w:b/>
                <w:bCs/>
                <w:sz w:val="24"/>
                <w:szCs w:val="24"/>
                <w:vertAlign w:val="baseline"/>
                <w:lang w:val="en-US" w:eastAsia="zh-CN"/>
              </w:rPr>
            </w:pPr>
            <w:r>
              <w:rPr>
                <w:rFonts w:hint="eastAsia" w:eastAsia="仿宋_GB2312"/>
                <w:b/>
                <w:bCs/>
                <w:sz w:val="24"/>
                <w:szCs w:val="24"/>
                <w:vertAlign w:val="baseline"/>
                <w:lang w:val="en-US" w:eastAsia="zh-CN"/>
              </w:rPr>
              <w:t>抽查任务名称</w:t>
            </w:r>
          </w:p>
        </w:tc>
        <w:tc>
          <w:tcPr>
            <w:tcW w:w="104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eastAsia="zh-CN"/>
              </w:rPr>
            </w:pPr>
            <w:r>
              <w:rPr>
                <w:rFonts w:hint="eastAsia"/>
                <w:b/>
                <w:bCs/>
                <w:sz w:val="24"/>
                <w:szCs w:val="24"/>
                <w:vertAlign w:val="baseline"/>
                <w:lang w:eastAsia="zh-CN"/>
              </w:rPr>
              <w:t>抽查</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eastAsia="zh-CN"/>
              </w:rPr>
            </w:pPr>
            <w:r>
              <w:rPr>
                <w:rFonts w:hint="eastAsia"/>
                <w:b/>
                <w:bCs/>
                <w:sz w:val="24"/>
                <w:szCs w:val="24"/>
                <w:vertAlign w:val="baseline"/>
                <w:lang w:eastAsia="zh-CN"/>
              </w:rPr>
              <w:t>类型</w:t>
            </w:r>
          </w:p>
        </w:tc>
        <w:tc>
          <w:tcPr>
            <w:tcW w:w="353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eastAsia="zh-CN"/>
              </w:rPr>
            </w:pPr>
            <w:r>
              <w:rPr>
                <w:rFonts w:hint="eastAsia"/>
                <w:b/>
                <w:bCs/>
                <w:sz w:val="24"/>
                <w:szCs w:val="24"/>
                <w:vertAlign w:val="baseline"/>
                <w:lang w:eastAsia="zh-CN"/>
              </w:rPr>
              <w:t>抽查事项</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仿宋_GB2312"/>
                <w:b/>
                <w:bCs/>
                <w:sz w:val="24"/>
                <w:szCs w:val="24"/>
                <w:vertAlign w:val="baseline"/>
                <w:lang w:eastAsia="zh-CN"/>
              </w:rPr>
            </w:pPr>
            <w:r>
              <w:rPr>
                <w:rFonts w:hint="eastAsia"/>
                <w:b/>
                <w:bCs/>
                <w:sz w:val="24"/>
                <w:szCs w:val="24"/>
                <w:vertAlign w:val="baseline"/>
                <w:lang w:eastAsia="zh-CN"/>
              </w:rPr>
              <w:t>抽查对象</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eastAsia="zh-CN"/>
              </w:rPr>
            </w:pPr>
            <w:r>
              <w:rPr>
                <w:rFonts w:hint="eastAsia"/>
                <w:b/>
                <w:bCs/>
                <w:sz w:val="24"/>
                <w:szCs w:val="24"/>
                <w:vertAlign w:val="baseline"/>
                <w:lang w:eastAsia="zh-CN"/>
              </w:rPr>
              <w:t>抽查比例</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4"/>
                <w:szCs w:val="24"/>
                <w:vertAlign w:val="baseline"/>
              </w:rPr>
            </w:pPr>
            <w:r>
              <w:rPr>
                <w:rFonts w:hint="eastAsia"/>
                <w:b/>
                <w:bCs/>
                <w:sz w:val="24"/>
                <w:szCs w:val="24"/>
                <w:vertAlign w:val="baseline"/>
              </w:rPr>
              <w:t>大约抽取的检查对象数量</w:t>
            </w:r>
          </w:p>
        </w:tc>
        <w:tc>
          <w:tcPr>
            <w:tcW w:w="100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eastAsia="zh-CN"/>
              </w:rPr>
            </w:pPr>
            <w:r>
              <w:rPr>
                <w:rFonts w:hint="eastAsia"/>
                <w:b/>
                <w:bCs/>
                <w:sz w:val="24"/>
                <w:szCs w:val="24"/>
                <w:vertAlign w:val="baseline"/>
                <w:lang w:eastAsia="zh-CN"/>
              </w:rPr>
              <w:t>实施</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仿宋_GB2312"/>
                <w:b/>
                <w:bCs/>
                <w:sz w:val="24"/>
                <w:szCs w:val="24"/>
                <w:vertAlign w:val="baseline"/>
                <w:lang w:eastAsia="zh-CN"/>
              </w:rPr>
            </w:pPr>
            <w:r>
              <w:rPr>
                <w:rFonts w:hint="eastAsia"/>
                <w:b/>
                <w:bCs/>
                <w:sz w:val="24"/>
                <w:szCs w:val="24"/>
                <w:vertAlign w:val="baseline"/>
                <w:lang w:eastAsia="zh-CN"/>
              </w:rPr>
              <w:t>时间</w:t>
            </w:r>
          </w:p>
        </w:tc>
        <w:tc>
          <w:tcPr>
            <w:tcW w:w="79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仿宋_GB2312"/>
                <w:b/>
                <w:bCs/>
                <w:sz w:val="24"/>
                <w:szCs w:val="24"/>
                <w:vertAlign w:val="baseline"/>
                <w:lang w:eastAsia="zh-CN"/>
              </w:rPr>
            </w:pPr>
            <w:r>
              <w:rPr>
                <w:rFonts w:hint="eastAsia"/>
                <w:b/>
                <w:bCs/>
                <w:sz w:val="24"/>
                <w:szCs w:val="24"/>
                <w:vertAlign w:val="baseline"/>
                <w:lang w:eastAsia="zh-CN"/>
              </w:rPr>
              <w:t>检查类型</w:t>
            </w:r>
          </w:p>
        </w:tc>
        <w:tc>
          <w:tcPr>
            <w:tcW w:w="11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eastAsia="zh-CN"/>
              </w:rPr>
            </w:pPr>
            <w:r>
              <w:rPr>
                <w:rFonts w:hint="eastAsia"/>
                <w:b/>
                <w:bCs/>
                <w:sz w:val="24"/>
                <w:szCs w:val="24"/>
                <w:vertAlign w:val="baseline"/>
                <w:lang w:eastAsia="zh-CN"/>
              </w:rPr>
              <w:t>参与部门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blHeader/>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2"/>
                <w:szCs w:val="22"/>
                <w:highlight w:val="yellow"/>
                <w:vertAlign w:val="baseline"/>
                <w:lang w:val="en-US" w:eastAsia="zh-CN"/>
              </w:rPr>
            </w:pPr>
            <w:r>
              <w:rPr>
                <w:rFonts w:hint="eastAsia"/>
                <w:sz w:val="24"/>
              </w:rPr>
              <w:t>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社会组织双随机检查</w:t>
            </w:r>
          </w:p>
        </w:tc>
        <w:tc>
          <w:tcPr>
            <w:tcW w:w="10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定向</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抽查</w:t>
            </w:r>
          </w:p>
        </w:tc>
        <w:tc>
          <w:tcPr>
            <w:tcW w:w="35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对社会组织法人内部治理、规章制度、依章程开展活动、财务情况、信息公开以及有无违法违规行为等情况进行监督检查。</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社会团体、民办非企业单位（社会服务机构）、基金会（慈善组织）等市级社会组织</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3%-5%</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28</w:t>
            </w:r>
          </w:p>
        </w:tc>
        <w:tc>
          <w:tcPr>
            <w:tcW w:w="10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2024年8-9月</w:t>
            </w:r>
          </w:p>
        </w:tc>
        <w:tc>
          <w:tcPr>
            <w:tcW w:w="79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一般检查事项</w:t>
            </w:r>
          </w:p>
        </w:tc>
        <w:tc>
          <w:tcPr>
            <w:tcW w:w="11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市民政局、相关业务主管单位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pacing w:val="0"/>
                <w:w w:val="100"/>
                <w:sz w:val="22"/>
                <w:szCs w:val="22"/>
                <w:highlight w:val="yellow"/>
                <w:lang w:eastAsia="zh-CN"/>
              </w:rPr>
            </w:pPr>
            <w:r>
              <w:rPr>
                <w:rFonts w:hint="eastAsia"/>
                <w:sz w:val="24"/>
                <w:lang w:val="en-US" w:eastAsia="zh-CN"/>
              </w:rPr>
              <w:t>2</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default" w:ascii="Times New Roman" w:hAnsi="Times New Roman" w:cs="Times New Roman"/>
                <w:sz w:val="24"/>
                <w:lang w:val="en-US" w:eastAsia="zh-CN"/>
              </w:rPr>
              <w:t>经营性公墓联合检查</w:t>
            </w:r>
          </w:p>
        </w:tc>
        <w:tc>
          <w:tcPr>
            <w:tcW w:w="10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定向</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default" w:ascii="Times New Roman" w:hAnsi="Times New Roman" w:cs="Times New Roman"/>
                <w:sz w:val="24"/>
                <w:lang w:val="en-US" w:eastAsia="zh-CN"/>
              </w:rPr>
              <w:t>抽查</w:t>
            </w:r>
          </w:p>
        </w:tc>
        <w:tc>
          <w:tcPr>
            <w:tcW w:w="3535"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firstLine="236" w:firstLineChars="100"/>
              <w:jc w:val="left"/>
              <w:textAlignment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一）落实建设验收、配套与提供服务的基本情况；（二）公墓建设中节地生态比例执行情况、墓区环境与配套设施；（三）内部管理与队伍建设情况；（四）服务范围与服务价格以及收费公示和明码标价执行情况；（五）落实行政机关有关殡葬管理的情况；（六）护墓资金提取情况；（七）墓区视频监控系统与消防设施情况；（八）安全管理和生产情况</w:t>
            </w:r>
            <w:r>
              <w:rPr>
                <w:rFonts w:hint="eastAsia" w:ascii="Times New Roman" w:hAnsi="Times New Roman" w:cs="Times New Roman"/>
                <w:sz w:val="24"/>
                <w:lang w:val="en-US" w:eastAsia="zh-CN"/>
              </w:rPr>
              <w:t>。</w:t>
            </w:r>
          </w:p>
        </w:tc>
        <w:tc>
          <w:tcPr>
            <w:tcW w:w="1410"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Times New Roman" w:hAnsi="Times New Roman" w:cs="Times New Roman"/>
                <w:sz w:val="24"/>
                <w:lang w:val="en-US" w:eastAsia="zh-CN"/>
              </w:rPr>
            </w:pPr>
            <w:r>
              <w:rPr>
                <w:rFonts w:hint="eastAsia" w:ascii="仿宋_GB2312" w:hAnsi="仿宋_GB2312" w:eastAsia="仿宋_GB2312" w:cs="仿宋_GB2312"/>
                <w:b w:val="0"/>
                <w:bCs w:val="0"/>
                <w:color w:val="000000"/>
                <w:sz w:val="24"/>
                <w:szCs w:val="24"/>
              </w:rPr>
              <w:t>本市经营性公墓</w:t>
            </w:r>
          </w:p>
        </w:tc>
        <w:tc>
          <w:tcPr>
            <w:tcW w:w="915" w:type="dxa"/>
            <w:noWrap w:val="0"/>
            <w:vAlign w:val="center"/>
          </w:tcPr>
          <w:p>
            <w:pPr>
              <w:jc w:val="center"/>
              <w:rPr>
                <w:rFonts w:hint="eastAsia" w:ascii="Times New Roman" w:hAnsi="Times New Roman" w:cs="Times New Roman"/>
                <w:sz w:val="24"/>
                <w:lang w:val="en-US" w:eastAsia="zh-CN"/>
              </w:rPr>
            </w:pPr>
            <w:r>
              <w:rPr>
                <w:rFonts w:hint="eastAsia"/>
                <w:sz w:val="24"/>
                <w:lang w:val="en-US" w:eastAsia="zh-CN"/>
              </w:rPr>
              <w:t>85%</w:t>
            </w:r>
          </w:p>
        </w:tc>
        <w:tc>
          <w:tcPr>
            <w:tcW w:w="935" w:type="dxa"/>
            <w:noWrap w:val="0"/>
            <w:vAlign w:val="center"/>
          </w:tcPr>
          <w:p>
            <w:pPr>
              <w:jc w:val="center"/>
              <w:rPr>
                <w:rFonts w:hint="eastAsia" w:ascii="Times New Roman" w:hAnsi="Times New Roman" w:cs="Times New Roman"/>
                <w:sz w:val="24"/>
                <w:lang w:val="en-US" w:eastAsia="zh-CN"/>
              </w:rPr>
            </w:pPr>
            <w:r>
              <w:rPr>
                <w:rFonts w:hint="eastAsia"/>
                <w:sz w:val="24"/>
                <w:lang w:val="en-US" w:eastAsia="zh-CN"/>
              </w:rPr>
              <w:t>6</w:t>
            </w:r>
          </w:p>
        </w:tc>
        <w:tc>
          <w:tcPr>
            <w:tcW w:w="1007" w:type="dxa"/>
            <w:noWrap w:val="0"/>
            <w:vAlign w:val="center"/>
          </w:tcPr>
          <w:p>
            <w:pPr>
              <w:jc w:val="center"/>
              <w:rPr>
                <w:rFonts w:hint="eastAsia" w:ascii="Times New Roman" w:hAnsi="Times New Roman" w:cs="Times New Roman"/>
                <w:sz w:val="24"/>
                <w:lang w:val="en-US" w:eastAsia="zh-CN"/>
              </w:rPr>
            </w:pPr>
            <w:r>
              <w:rPr>
                <w:rFonts w:hint="eastAsia"/>
                <w:sz w:val="24"/>
                <w:lang w:val="en-US" w:eastAsia="zh-CN"/>
              </w:rPr>
              <w:t>2024年11月</w:t>
            </w:r>
          </w:p>
        </w:tc>
        <w:tc>
          <w:tcPr>
            <w:tcW w:w="79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一般检查事项</w:t>
            </w:r>
          </w:p>
        </w:tc>
        <w:tc>
          <w:tcPr>
            <w:tcW w:w="11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市民政局、发展改革局、自然资源局、市场监管局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lang w:val="en-US" w:eastAsia="zh-CN"/>
              </w:rPr>
            </w:pPr>
            <w:r>
              <w:rPr>
                <w:rFonts w:hint="eastAsia"/>
                <w:sz w:val="24"/>
                <w:lang w:val="en-US" w:eastAsia="zh-CN"/>
              </w:rPr>
              <w:t>3</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市级假肢和矫形器(辅助器具)生产装配企业抽查督查</w:t>
            </w:r>
          </w:p>
        </w:tc>
        <w:tc>
          <w:tcPr>
            <w:tcW w:w="10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定向</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抽查</w:t>
            </w:r>
          </w:p>
        </w:tc>
        <w:tc>
          <w:tcPr>
            <w:tcW w:w="3535"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firstLine="236" w:firstLineChars="100"/>
              <w:jc w:val="left"/>
              <w:textAlignment w:val="center"/>
              <w:rPr>
                <w:rFonts w:hint="default" w:ascii="Times New Roman" w:hAnsi="Times New Roman" w:cs="Times New Roman"/>
                <w:b/>
                <w:bCs/>
                <w:sz w:val="24"/>
                <w:lang w:val="en-US" w:eastAsia="zh-CN"/>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企业名称、住所、法定代表人或者主要负责人、服务范围等设立许可证载明事项变化情况；</w:t>
            </w: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经营生产产品及制作室、功能室、设施设备等配备情况；3.专业技术人员配备情况。</w:t>
            </w:r>
          </w:p>
        </w:tc>
        <w:tc>
          <w:tcPr>
            <w:tcW w:w="1410"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default" w:ascii="Times New Roman" w:hAnsi="Times New Roman" w:cs="Times New Roman"/>
                <w:b/>
                <w:bCs/>
                <w:sz w:val="24"/>
                <w:lang w:val="en-US" w:eastAsia="zh-CN"/>
              </w:rPr>
            </w:pPr>
            <w:r>
              <w:rPr>
                <w:rFonts w:hint="eastAsia" w:ascii="仿宋_GB2312" w:hAnsi="仿宋_GB2312" w:eastAsia="仿宋_GB2312" w:cs="仿宋_GB2312"/>
                <w:b w:val="0"/>
                <w:bCs w:val="0"/>
                <w:color w:val="000000"/>
                <w:sz w:val="24"/>
                <w:szCs w:val="24"/>
              </w:rPr>
              <w:t>市级假肢和矫形器(辅助器具)生产装配企业</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100%</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2</w:t>
            </w:r>
          </w:p>
        </w:tc>
        <w:tc>
          <w:tcPr>
            <w:tcW w:w="10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2024年9月</w:t>
            </w:r>
          </w:p>
        </w:tc>
        <w:tc>
          <w:tcPr>
            <w:tcW w:w="79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一般检查事项</w:t>
            </w:r>
          </w:p>
        </w:tc>
        <w:tc>
          <w:tcPr>
            <w:tcW w:w="11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pacing w:val="0"/>
                <w:w w:val="100"/>
                <w:sz w:val="22"/>
                <w:szCs w:val="22"/>
                <w:highlight w:val="yellow"/>
                <w:lang w:val="en-US" w:eastAsia="zh-CN"/>
              </w:rPr>
            </w:pPr>
            <w:r>
              <w:rPr>
                <w:rFonts w:hint="eastAsia"/>
                <w:sz w:val="24"/>
                <w:lang w:val="en-US" w:eastAsia="zh-CN"/>
              </w:rPr>
              <w:t>4</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eastAsia="zh-CN"/>
              </w:rPr>
            </w:pPr>
            <w:r>
              <w:rPr>
                <w:rFonts w:hint="eastAsia" w:ascii="Times New Roman" w:hAnsi="Times New Roman" w:cs="Times New Roman"/>
                <w:sz w:val="24"/>
                <w:lang w:val="en-US" w:eastAsia="zh-CN"/>
              </w:rPr>
              <w:t>市级养老机构监督检查</w:t>
            </w:r>
          </w:p>
        </w:tc>
        <w:tc>
          <w:tcPr>
            <w:tcW w:w="10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定向</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eastAsia="zh-CN"/>
              </w:rPr>
            </w:pPr>
            <w:r>
              <w:rPr>
                <w:rFonts w:hint="eastAsia" w:ascii="Times New Roman" w:hAnsi="Times New Roman" w:cs="Times New Roman"/>
                <w:sz w:val="24"/>
                <w:lang w:val="en-US" w:eastAsia="zh-CN"/>
              </w:rPr>
              <w:t>抽查</w:t>
            </w:r>
          </w:p>
        </w:tc>
        <w:tc>
          <w:tcPr>
            <w:tcW w:w="35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eastAsia="zh-CN"/>
              </w:rPr>
            </w:pPr>
            <w:r>
              <w:rPr>
                <w:rFonts w:hint="eastAsia" w:ascii="Times New Roman" w:hAnsi="Times New Roman" w:cs="Times New Roman"/>
                <w:sz w:val="24"/>
                <w:lang w:val="en-US" w:eastAsia="zh-CN"/>
              </w:rPr>
              <w:t>养老机构管理、食品安全、消防安全等。</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eastAsia="zh-CN"/>
              </w:rPr>
            </w:pPr>
            <w:r>
              <w:rPr>
                <w:rFonts w:hint="eastAsia" w:ascii="Times New Roman" w:hAnsi="Times New Roman" w:cs="Times New Roman"/>
                <w:sz w:val="24"/>
                <w:lang w:eastAsia="zh-CN"/>
              </w:rPr>
              <w:t>市级养老机构</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100%</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eastAsia="zh-CN"/>
              </w:rPr>
            </w:pPr>
            <w:r>
              <w:rPr>
                <w:rFonts w:hint="eastAsia" w:ascii="Times New Roman" w:hAnsi="Times New Roman" w:cs="Times New Roman"/>
                <w:sz w:val="24"/>
                <w:lang w:val="en-US" w:eastAsia="zh-CN"/>
              </w:rPr>
              <w:t>1</w:t>
            </w:r>
          </w:p>
        </w:tc>
        <w:tc>
          <w:tcPr>
            <w:tcW w:w="10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2024年6月</w:t>
            </w:r>
          </w:p>
        </w:tc>
        <w:tc>
          <w:tcPr>
            <w:tcW w:w="79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eastAsia="zh-CN"/>
              </w:rPr>
            </w:pPr>
            <w:r>
              <w:rPr>
                <w:rFonts w:hint="eastAsia" w:ascii="Times New Roman" w:hAnsi="Times New Roman" w:cs="Times New Roman"/>
                <w:sz w:val="24"/>
                <w:lang w:val="en-US" w:eastAsia="zh-CN"/>
              </w:rPr>
              <w:t>重点检查事项</w:t>
            </w:r>
          </w:p>
        </w:tc>
        <w:tc>
          <w:tcPr>
            <w:tcW w:w="11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eastAsia="zh-CN"/>
              </w:rPr>
            </w:pPr>
            <w:r>
              <w:rPr>
                <w:rFonts w:hint="eastAsia" w:ascii="Times New Roman" w:hAnsi="Times New Roman" w:cs="Times New Roman"/>
                <w:sz w:val="24"/>
                <w:lang w:val="en-US" w:eastAsia="zh-CN"/>
              </w:rPr>
              <w:t>市民政局、市市场监督管理局、市消防救援支队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5</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eastAsia="zh-CN"/>
              </w:rPr>
            </w:pPr>
            <w:r>
              <w:rPr>
                <w:rFonts w:hint="eastAsia" w:ascii="Times New Roman" w:hAnsi="Times New Roman" w:cs="Times New Roman"/>
                <w:sz w:val="24"/>
                <w:lang w:eastAsia="zh-CN"/>
              </w:rPr>
              <w:t>市级慈善组织开展慈善活动的监督检查</w:t>
            </w:r>
          </w:p>
        </w:tc>
        <w:tc>
          <w:tcPr>
            <w:tcW w:w="10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rPr>
            </w:pPr>
            <w:r>
              <w:rPr>
                <w:rFonts w:hint="eastAsia" w:ascii="Times New Roman" w:hAnsi="Times New Roman" w:cs="Times New Roman"/>
                <w:sz w:val="24"/>
              </w:rPr>
              <w:t>定向</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eastAsia="zh-CN"/>
              </w:rPr>
            </w:pPr>
            <w:r>
              <w:rPr>
                <w:rFonts w:hint="eastAsia" w:ascii="Times New Roman" w:hAnsi="Times New Roman" w:cs="Times New Roman"/>
                <w:sz w:val="24"/>
              </w:rPr>
              <w:t>抽查</w:t>
            </w:r>
          </w:p>
        </w:tc>
        <w:tc>
          <w:tcPr>
            <w:tcW w:w="35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eastAsia="zh-CN"/>
              </w:rPr>
            </w:pPr>
            <w:r>
              <w:rPr>
                <w:rFonts w:hint="eastAsia" w:ascii="Times New Roman" w:hAnsi="Times New Roman" w:cs="Times New Roman"/>
                <w:sz w:val="24"/>
                <w:lang w:eastAsia="zh-CN"/>
              </w:rPr>
              <w:t>对市级慈善组织的管理、慈善财产、信息公开、慈善募捐、慈善捐赠、慈善信托、慈善服务等情况进行监督检查。</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eastAsia="zh-CN"/>
              </w:rPr>
            </w:pPr>
            <w:r>
              <w:rPr>
                <w:rFonts w:hint="eastAsia" w:ascii="Times New Roman" w:hAnsi="Times New Roman" w:cs="Times New Roman"/>
                <w:sz w:val="24"/>
                <w:lang w:eastAsia="zh-CN"/>
              </w:rPr>
              <w:t>市级慈善组织</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10%</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3</w:t>
            </w:r>
          </w:p>
        </w:tc>
        <w:tc>
          <w:tcPr>
            <w:tcW w:w="10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sz w:val="24"/>
                <w:lang w:val="en-US" w:eastAsia="zh-CN"/>
              </w:rPr>
            </w:pPr>
            <w:r>
              <w:rPr>
                <w:rFonts w:hint="eastAsia" w:ascii="Times New Roman" w:hAnsi="Times New Roman" w:cs="Times New Roman"/>
                <w:sz w:val="24"/>
                <w:lang w:val="en-US" w:eastAsia="zh-CN"/>
              </w:rPr>
              <w:t>2024年</w:t>
            </w:r>
            <w:r>
              <w:rPr>
                <w:rFonts w:hint="eastAsia" w:cs="Times New Roman"/>
                <w:sz w:val="24"/>
                <w:lang w:val="en-US" w:eastAsia="zh-CN"/>
              </w:rPr>
              <w:t>8</w:t>
            </w:r>
            <w:r>
              <w:rPr>
                <w:rFonts w:hint="eastAsia" w:ascii="Times New Roman" w:hAnsi="Times New Roman" w:cs="Times New Roman"/>
                <w:sz w:val="24"/>
                <w:lang w:val="en-US" w:eastAsia="zh-CN"/>
              </w:rPr>
              <w:t>月</w:t>
            </w:r>
            <w:r>
              <w:rPr>
                <w:rFonts w:hint="eastAsia" w:cs="Times New Roman"/>
                <w:sz w:val="24"/>
                <w:lang w:val="en-US" w:eastAsia="zh-CN"/>
              </w:rPr>
              <w:t>前</w:t>
            </w:r>
          </w:p>
        </w:tc>
        <w:tc>
          <w:tcPr>
            <w:tcW w:w="79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eastAsia="zh-CN"/>
              </w:rPr>
            </w:pPr>
            <w:r>
              <w:rPr>
                <w:rFonts w:hint="eastAsia" w:ascii="Times New Roman" w:hAnsi="Times New Roman" w:cs="Times New Roman"/>
                <w:sz w:val="24"/>
                <w:lang w:eastAsia="zh-CN"/>
              </w:rPr>
              <w:t>一般检查事项</w:t>
            </w:r>
          </w:p>
        </w:tc>
        <w:tc>
          <w:tcPr>
            <w:tcW w:w="11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eastAsia="zh-CN"/>
              </w:rPr>
            </w:pPr>
            <w:r>
              <w:rPr>
                <w:rFonts w:hint="eastAsia" w:ascii="Times New Roman" w:hAnsi="Times New Roman" w:cs="Times New Roman"/>
                <w:sz w:val="24"/>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6</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eastAsia="zh-CN"/>
              </w:rPr>
            </w:pPr>
            <w:r>
              <w:rPr>
                <w:rFonts w:hint="eastAsia" w:ascii="Times New Roman" w:hAnsi="Times New Roman" w:cs="Times New Roman"/>
                <w:sz w:val="24"/>
                <w:lang w:eastAsia="zh-CN"/>
              </w:rPr>
              <w:t>市级社会工作类社会组织的监督检查</w:t>
            </w:r>
          </w:p>
        </w:tc>
        <w:tc>
          <w:tcPr>
            <w:tcW w:w="10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eastAsia="zh-CN"/>
              </w:rPr>
            </w:pPr>
            <w:r>
              <w:rPr>
                <w:rFonts w:hint="eastAsia" w:ascii="Times New Roman" w:hAnsi="Times New Roman" w:cs="Times New Roman"/>
                <w:sz w:val="24"/>
                <w:lang w:eastAsia="zh-CN"/>
              </w:rPr>
              <w:t>定向</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eastAsia="zh-CN"/>
              </w:rPr>
            </w:pPr>
            <w:r>
              <w:rPr>
                <w:rFonts w:hint="eastAsia" w:ascii="Times New Roman" w:hAnsi="Times New Roman" w:cs="Times New Roman"/>
                <w:sz w:val="24"/>
                <w:lang w:eastAsia="zh-CN"/>
              </w:rPr>
              <w:t>抽查</w:t>
            </w:r>
          </w:p>
        </w:tc>
        <w:tc>
          <w:tcPr>
            <w:tcW w:w="35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eastAsia="zh-CN"/>
              </w:rPr>
            </w:pPr>
            <w:r>
              <w:rPr>
                <w:rFonts w:hint="eastAsia" w:ascii="Times New Roman" w:hAnsi="Times New Roman" w:cs="Times New Roman"/>
                <w:sz w:val="24"/>
                <w:lang w:eastAsia="zh-CN"/>
              </w:rPr>
              <w:t>对市级社会工作类社会组织内部治理、信息公开、开展社会工作专业服务、接受政府购买服务资金和社会捐赠资金的使用管理等情况进行监督检查。</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eastAsia="zh-CN"/>
              </w:rPr>
            </w:pPr>
            <w:r>
              <w:rPr>
                <w:rFonts w:hint="eastAsia" w:ascii="Times New Roman" w:hAnsi="Times New Roman" w:cs="Times New Roman"/>
                <w:sz w:val="24"/>
                <w:lang w:eastAsia="zh-CN"/>
              </w:rPr>
              <w:t>市级社会工作类社会组织</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10%</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2</w:t>
            </w:r>
          </w:p>
        </w:tc>
        <w:tc>
          <w:tcPr>
            <w:tcW w:w="10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2024年</w:t>
            </w:r>
            <w:r>
              <w:rPr>
                <w:rFonts w:hint="eastAsia" w:cs="Times New Roman"/>
                <w:sz w:val="24"/>
                <w:lang w:val="en-US" w:eastAsia="zh-CN"/>
              </w:rPr>
              <w:t>9</w:t>
            </w:r>
            <w:r>
              <w:rPr>
                <w:rFonts w:hint="eastAsia" w:ascii="Times New Roman" w:hAnsi="Times New Roman" w:cs="Times New Roman"/>
                <w:sz w:val="24"/>
                <w:lang w:val="en-US" w:eastAsia="zh-CN"/>
              </w:rPr>
              <w:t>月</w:t>
            </w:r>
            <w:r>
              <w:rPr>
                <w:rFonts w:hint="eastAsia" w:cs="Times New Roman"/>
                <w:sz w:val="24"/>
                <w:lang w:val="en-US" w:eastAsia="zh-CN"/>
              </w:rPr>
              <w:t>前</w:t>
            </w:r>
          </w:p>
        </w:tc>
        <w:tc>
          <w:tcPr>
            <w:tcW w:w="79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eastAsia="zh-CN"/>
              </w:rPr>
            </w:pPr>
            <w:r>
              <w:rPr>
                <w:rFonts w:hint="eastAsia" w:ascii="Times New Roman" w:hAnsi="Times New Roman" w:cs="Times New Roman"/>
                <w:sz w:val="24"/>
                <w:lang w:eastAsia="zh-CN"/>
              </w:rPr>
              <w:t>一般检查事项</w:t>
            </w:r>
          </w:p>
        </w:tc>
        <w:tc>
          <w:tcPr>
            <w:tcW w:w="11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sz w:val="24"/>
                <w:lang w:eastAsia="zh-CN"/>
              </w:rPr>
            </w:pPr>
            <w:r>
              <w:rPr>
                <w:rFonts w:hint="eastAsia" w:ascii="Times New Roman" w:hAnsi="Times New Roman" w:cs="Times New Roman"/>
                <w:sz w:val="24"/>
                <w:lang w:eastAsia="zh-CN"/>
              </w:rPr>
              <w:t>市民政局</w:t>
            </w:r>
          </w:p>
        </w:tc>
      </w:tr>
    </w:tbl>
    <w:p>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仿宋_GB2312" w:hAnsi="仿宋_GB2312" w:eastAsia="仿宋_GB2312" w:cs="仿宋_GB2312"/>
          <w:sz w:val="24"/>
          <w:szCs w:val="24"/>
        </w:rPr>
      </w:pPr>
    </w:p>
    <w:sectPr>
      <w:pgSz w:w="16838" w:h="11906" w:orient="landscape"/>
      <w:pgMar w:top="1474" w:right="2154" w:bottom="1361" w:left="2041" w:header="851" w:footer="1389" w:gutter="0"/>
      <w:cols w:space="720" w:num="1"/>
      <w:rtlGutter w:val="0"/>
      <w:docGrid w:type="linesAndChars" w:linePitch="57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HorizontalSpacing w:val="158"/>
  <w:drawingGridVerticalSpacing w:val="287"/>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F0510"/>
    <w:rsid w:val="00E31235"/>
    <w:rsid w:val="02AB37C1"/>
    <w:rsid w:val="05551E7D"/>
    <w:rsid w:val="079934FA"/>
    <w:rsid w:val="09455A58"/>
    <w:rsid w:val="10E6562D"/>
    <w:rsid w:val="1180542B"/>
    <w:rsid w:val="122D6D3B"/>
    <w:rsid w:val="12F43F4B"/>
    <w:rsid w:val="136E304D"/>
    <w:rsid w:val="15F05BA9"/>
    <w:rsid w:val="17921D36"/>
    <w:rsid w:val="19B75E7C"/>
    <w:rsid w:val="1A4628C2"/>
    <w:rsid w:val="1E804607"/>
    <w:rsid w:val="1F927DC6"/>
    <w:rsid w:val="1FAB5CE2"/>
    <w:rsid w:val="22E1137C"/>
    <w:rsid w:val="23BA17E3"/>
    <w:rsid w:val="23C15EE2"/>
    <w:rsid w:val="25665628"/>
    <w:rsid w:val="26ED56C0"/>
    <w:rsid w:val="2EBF391B"/>
    <w:rsid w:val="2FEC68B2"/>
    <w:rsid w:val="30EA0A26"/>
    <w:rsid w:val="31C73033"/>
    <w:rsid w:val="34936AC6"/>
    <w:rsid w:val="35D54FAB"/>
    <w:rsid w:val="39E762E9"/>
    <w:rsid w:val="3A4D2287"/>
    <w:rsid w:val="3BFECF88"/>
    <w:rsid w:val="3C8539D6"/>
    <w:rsid w:val="3F4D7361"/>
    <w:rsid w:val="3F7230AD"/>
    <w:rsid w:val="4134647B"/>
    <w:rsid w:val="413A216D"/>
    <w:rsid w:val="484D1A80"/>
    <w:rsid w:val="4DD6575B"/>
    <w:rsid w:val="55DB256A"/>
    <w:rsid w:val="5A713DE6"/>
    <w:rsid w:val="5AF62A5D"/>
    <w:rsid w:val="5BB73F6D"/>
    <w:rsid w:val="5D7B10E0"/>
    <w:rsid w:val="5FBF0510"/>
    <w:rsid w:val="641D31F4"/>
    <w:rsid w:val="69487C94"/>
    <w:rsid w:val="6CE77010"/>
    <w:rsid w:val="728A204A"/>
    <w:rsid w:val="76D819CF"/>
    <w:rsid w:val="7CD220E1"/>
    <w:rsid w:val="7DDB5C70"/>
    <w:rsid w:val="7E49EFEE"/>
    <w:rsid w:val="FFF935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sz w:val="30"/>
      <w:szCs w:val="22"/>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semiHidden/>
    <w:qFormat/>
    <w:uiPriority w:val="0"/>
    <w:rPr>
      <w:rFonts w:ascii="Times New Roman" w:hAnsi="Times New Roman" w:eastAsia="仿宋_GB2312" w:cs="Times New Roman"/>
      <w:kern w:val="2"/>
      <w:sz w:val="32"/>
      <w:szCs w:val="32"/>
      <w:lang w:val="en-US" w:eastAsia="zh-CN" w:bidi="ar-SA"/>
    </w:rPr>
  </w:style>
  <w:style w:type="character" w:customStyle="1" w:styleId="8">
    <w:name w:val="fontstyle11"/>
    <w:basedOn w:val="6"/>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市民政局</Company>
  <Pages>1</Pages>
  <Words>0</Words>
  <Characters>0</Characters>
  <Lines>0</Lines>
  <Paragraphs>0</Paragraphs>
  <TotalTime>13.6666666666667</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2021-03-19T02:19:00Z</dcterms:created>
  <dc:creator>CHENH</dc:creator>
  <cp:lastModifiedBy>一一</cp:lastModifiedBy>
  <cp:lastPrinted>2024-11-26T08:41:41Z</cp:lastPrinted>
  <dcterms:modified xsi:type="dcterms:W3CDTF">2024-11-26T15:06:00Z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CB78FF7595E67B1F5873456762BD3552</vt:lpwstr>
  </property>
</Properties>
</file>