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526" w:type="dxa"/>
        <w:jc w:val="center"/>
        <w:tblLayout w:type="fixed"/>
        <w:tblCellMar>
          <w:top w:w="0" w:type="dxa"/>
          <w:left w:w="108" w:type="dxa"/>
          <w:bottom w:w="0" w:type="dxa"/>
          <w:right w:w="108" w:type="dxa"/>
        </w:tblCellMar>
      </w:tblPr>
      <w:tblGrid>
        <w:gridCol w:w="9526"/>
      </w:tblGrid>
      <w:tr w14:paraId="565ADE38">
        <w:tblPrEx>
          <w:tblCellMar>
            <w:top w:w="0" w:type="dxa"/>
            <w:left w:w="108" w:type="dxa"/>
            <w:bottom w:w="0" w:type="dxa"/>
            <w:right w:w="108" w:type="dxa"/>
          </w:tblCellMar>
        </w:tblPrEx>
        <w:trPr>
          <w:jc w:val="center"/>
        </w:trPr>
        <w:tc>
          <w:tcPr>
            <w:tcW w:w="9526"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tcPr>
          <w:p w14:paraId="5833E44E">
            <w:pPr>
              <w:keepNext w:val="0"/>
              <w:keepLines w:val="0"/>
              <w:pageBreakBefore w:val="0"/>
              <w:widowControl w:val="0"/>
              <w:kinsoku/>
              <w:wordWrap/>
              <w:overflowPunct/>
              <w:topLinePunct w:val="0"/>
              <w:autoSpaceDE/>
              <w:autoSpaceDN/>
              <w:bidi w:val="0"/>
              <w:spacing w:line="440" w:lineRule="exact"/>
              <w:ind w:firstLine="422"/>
              <w:textAlignment w:val="auto"/>
              <w:rPr>
                <w:rFonts w:asciiTheme="minorEastAsia" w:hAnsiTheme="minorEastAsia" w:eastAsiaTheme="minorEastAsia"/>
                <w:sz w:val="24"/>
                <w:szCs w:val="24"/>
              </w:rPr>
            </w:pPr>
            <w:r>
              <w:rPr>
                <w:rFonts w:asciiTheme="minorEastAsia" w:hAnsiTheme="minorEastAsia" w:eastAsiaTheme="minorEastAsia"/>
                <w:b/>
                <w:bCs/>
                <w:sz w:val="24"/>
                <w:szCs w:val="24"/>
              </w:rPr>
              <w:t>审批意见：</w:t>
            </w:r>
          </w:p>
          <w:p w14:paraId="57E77BCD">
            <w:pPr>
              <w:keepNext w:val="0"/>
              <w:keepLines w:val="0"/>
              <w:pageBreakBefore w:val="0"/>
              <w:widowControl w:val="0"/>
              <w:kinsoku/>
              <w:wordWrap/>
              <w:overflowPunct/>
              <w:topLinePunct w:val="0"/>
              <w:autoSpaceDE/>
              <w:autoSpaceDN/>
              <w:bidi w:val="0"/>
              <w:spacing w:line="440" w:lineRule="exact"/>
              <w:ind w:firstLine="42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w:t>
            </w:r>
            <w:r>
              <w:rPr>
                <w:rFonts w:hint="eastAsia" w:asciiTheme="minorEastAsia" w:hAnsiTheme="minorEastAsia" w:eastAsiaTheme="minorEastAsia" w:cstheme="minorEastAsia"/>
                <w:color w:val="000000"/>
                <w:sz w:val="24"/>
                <w:szCs w:val="24"/>
                <w:lang w:val="zh-CN"/>
              </w:rPr>
              <w:t>深圳市粤建检测技术有限公司</w:t>
            </w:r>
            <w:r>
              <w:rPr>
                <w:rFonts w:hint="eastAsia" w:asciiTheme="minorEastAsia" w:hAnsiTheme="minorEastAsia" w:eastAsiaTheme="minorEastAsia" w:cstheme="minorEastAsia"/>
                <w:color w:val="000000"/>
                <w:sz w:val="24"/>
                <w:szCs w:val="24"/>
              </w:rPr>
              <w:t>出具的技术评估意见，从环境保护角度原则同意</w:t>
            </w:r>
            <w:r>
              <w:rPr>
                <w:rFonts w:hint="eastAsia" w:asciiTheme="minorEastAsia" w:hAnsiTheme="minorEastAsia" w:eastAsiaTheme="minorEastAsia" w:cstheme="minorEastAsia"/>
                <w:color w:val="000000"/>
                <w:sz w:val="24"/>
                <w:szCs w:val="24"/>
                <w:lang w:eastAsia="zh-CN"/>
              </w:rPr>
              <w:t>汕头东海岸高级中学（暂定名）项目</w:t>
            </w:r>
            <w:r>
              <w:rPr>
                <w:rFonts w:hint="eastAsia" w:asciiTheme="minorEastAsia" w:hAnsiTheme="minorEastAsia" w:eastAsiaTheme="minorEastAsia" w:cstheme="minorEastAsia"/>
                <w:color w:val="000000"/>
                <w:sz w:val="24"/>
                <w:szCs w:val="24"/>
              </w:rPr>
              <w:t>的建设。</w:t>
            </w:r>
          </w:p>
          <w:p w14:paraId="37BBEEBE">
            <w:pPr>
              <w:keepNext w:val="0"/>
              <w:keepLines w:val="0"/>
              <w:pageBreakBefore w:val="0"/>
              <w:widowControl w:val="0"/>
              <w:kinsoku/>
              <w:wordWrap/>
              <w:overflowPunct/>
              <w:topLinePunct w:val="0"/>
              <w:autoSpaceDE/>
              <w:autoSpaceDN/>
              <w:bidi w:val="0"/>
              <w:spacing w:line="440" w:lineRule="exact"/>
              <w:ind w:firstLine="420"/>
              <w:textAlignment w:val="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一、项目施工期应做好以下环境保护工作：</w:t>
            </w:r>
          </w:p>
          <w:p w14:paraId="422284C9">
            <w:pPr>
              <w:keepNext w:val="0"/>
              <w:keepLines w:val="0"/>
              <w:pageBreakBefore w:val="0"/>
              <w:widowControl w:val="0"/>
              <w:kinsoku/>
              <w:wordWrap/>
              <w:overflowPunct/>
              <w:topLinePunct w:val="0"/>
              <w:autoSpaceDE/>
              <w:autoSpaceDN/>
              <w:bidi w:val="0"/>
              <w:spacing w:line="44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val="zh-CN"/>
              </w:rPr>
              <w:t>大气污染防治措施：项目施工期采取在工地周围设置连续、密闭的围挡，地面、车行道路进行硬化等降尘处理；项目建材和室内装修材料必须达到国家质量监督检验检疫局2002年1月 1日颁布的《装饰装修材料有害物质限量》中规定的10项强制性国家标准，防止施工期间产生的大气污染物对周边大气环境产生影响。</w:t>
            </w:r>
          </w:p>
          <w:p w14:paraId="2B9D2E67">
            <w:pPr>
              <w:keepNext w:val="0"/>
              <w:keepLines w:val="0"/>
              <w:pageBreakBefore w:val="0"/>
              <w:widowControl w:val="0"/>
              <w:kinsoku/>
              <w:wordWrap/>
              <w:overflowPunct/>
              <w:topLinePunct w:val="0"/>
              <w:autoSpaceDE/>
              <w:autoSpaceDN/>
              <w:bidi w:val="0"/>
              <w:spacing w:line="44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val="zh-CN"/>
              </w:rPr>
              <w:t>水污染防治措施：施工期生活污水量较小，且具短暂性，其排放随着施工的结束而结束，经三级化粪池处理后，排入汕头市龙珠水质净化厂处理；施工期废水经隔油沉沙预处理后回用于施工。</w:t>
            </w:r>
          </w:p>
          <w:p w14:paraId="57F9B159">
            <w:pPr>
              <w:keepNext w:val="0"/>
              <w:keepLines w:val="0"/>
              <w:pageBreakBefore w:val="0"/>
              <w:widowControl w:val="0"/>
              <w:kinsoku/>
              <w:wordWrap/>
              <w:overflowPunct/>
              <w:topLinePunct w:val="0"/>
              <w:autoSpaceDE/>
              <w:autoSpaceDN/>
              <w:bidi w:val="0"/>
              <w:spacing w:line="440" w:lineRule="exact"/>
              <w:ind w:firstLine="42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噪声污染防治措施：</w:t>
            </w:r>
            <w:r>
              <w:rPr>
                <w:rFonts w:hint="default" w:asciiTheme="minorEastAsia" w:hAnsiTheme="minorEastAsia" w:eastAsiaTheme="minorEastAsia" w:cstheme="minorEastAsia"/>
                <w:color w:val="000000"/>
                <w:sz w:val="24"/>
                <w:szCs w:val="24"/>
                <w:lang w:val="zh-CN"/>
              </w:rPr>
              <w:t>报告要求项目施工期合理安排施工计划和施工机械设备组合，在中午(12:00～14:00)和夜间(22:00~次日06:00)禁止施工作业，避免在同一时间内集中使用大量的动力机械设备，并在施工过程中采取尽量减少运行动力机械设备的数目，并尽量将机动设备及施工活动安排在远离敏感区一侧、在东西南侧部分施工现场设置一些临时的隔声屏障等噪声控制措施。</w:t>
            </w:r>
          </w:p>
          <w:p w14:paraId="0AEE61EF">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en-US" w:eastAsia="zh-CN"/>
              </w:rPr>
              <w:t>4.固体废物防治措施：</w:t>
            </w:r>
            <w:r>
              <w:rPr>
                <w:rFonts w:hint="default" w:asciiTheme="minorEastAsia" w:hAnsiTheme="minorEastAsia" w:eastAsiaTheme="minorEastAsia" w:cstheme="minorEastAsia"/>
                <w:color w:val="000000"/>
                <w:sz w:val="24"/>
                <w:szCs w:val="24"/>
                <w:lang w:val="zh-CN"/>
              </w:rPr>
              <w:t>对于施工期产生的固体废物，报告要求建设单位指定地点临时存放，由专门的运输车辆将建筑垃圾和废弃土石方运往相关部门指定受纳点处置，通过采取上述措施后项目施工产生的固体废物不会对周围的环境产生明显的影响。</w:t>
            </w:r>
          </w:p>
          <w:p w14:paraId="6D08E3B4">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r>
              <w:rPr>
                <w:rFonts w:hint="default" w:asciiTheme="minorEastAsia" w:hAnsiTheme="minorEastAsia" w:eastAsiaTheme="minorEastAsia" w:cstheme="minorEastAsia"/>
                <w:color w:val="000000"/>
                <w:sz w:val="24"/>
                <w:szCs w:val="24"/>
                <w:lang w:val="zh-CN"/>
              </w:rPr>
              <w:t>生态保护措施：建设过程中需要占用土地，对原有植被和绿化带来一定的破坏，并可能引起局部的水土流失。项目应做好防护工作，以减少水土流失；应根据不同土质分类堆放开挖土壤，以利于重新利用，并对堆放场设置挡土墙，先挡后弃等措施，防止渣土流失。</w:t>
            </w:r>
          </w:p>
          <w:p w14:paraId="0487C7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二、项目营运期应做好以下环境保护工作：</w:t>
            </w:r>
          </w:p>
          <w:p w14:paraId="1CB49333">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1.大气污染防治措施：</w:t>
            </w:r>
            <w:r>
              <w:rPr>
                <w:rFonts w:hint="default" w:asciiTheme="minorEastAsia" w:hAnsiTheme="minorEastAsia" w:eastAsiaTheme="minorEastAsia" w:cstheme="minorEastAsia"/>
                <w:color w:val="000000"/>
                <w:sz w:val="24"/>
                <w:szCs w:val="24"/>
                <w:lang w:val="en-US" w:eastAsia="zh-CN"/>
              </w:rPr>
              <w:t>项目运营期产生的废气主要为废气主要为垃圾收集间、食堂、厕所、酸碱污水处理系统恶臭、备用发电机烟气、机动车尾气和学生、职工食堂油烟。</w:t>
            </w:r>
          </w:p>
          <w:p w14:paraId="14913D77">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项目产生的垃圾由专人及时清运，统一运往垃圾转运站，做到生活垃圾日产日清，并每日进行除臭、清洗、消毒减少垃圾产生的臭味影响；公厕使用中及时冲洗厕所，喷洒消毒药剂，放置除臭剂，采取以上措施后满足《恶臭污染物排放标准》（GB14554-93）厂界二级标准。</w:t>
            </w:r>
          </w:p>
          <w:p w14:paraId="41E7ED41">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项目运营期食堂油烟经配套的静电油烟净化器处理，处理达到《饮食业油烟排放标准》(GB18483-2001)中的标准限值后引高经排气筒排放。</w:t>
            </w:r>
          </w:p>
          <w:p w14:paraId="20BD6118">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对于学校内的机动车则采取加强车辆管理和项目厂界周边的绿化等措施减少大气污染物的影响。</w:t>
            </w:r>
          </w:p>
          <w:p w14:paraId="3C1706F1">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项目的发电机属于备用发电机，启用时间极少，发电机燃油尾气由专用排烟管道经风机强排各自引至楼房顶层天面高空排放，排放口位置的朝向为无敏感点的开阔侧。</w:t>
            </w:r>
          </w:p>
          <w:p w14:paraId="64A57506">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根据报告表分析，学校实验室只进行简单教学实验，不使用强酸强碱及易燃有机溶剂，不涉及强酸、强碱、溶剂挥发废气排放。实验室经过加强通排风，对周围大气环境的影响不大，环境质量可以保持现有水平。</w:t>
            </w:r>
          </w:p>
          <w:p w14:paraId="0D9C04F5">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r>
              <w:rPr>
                <w:rFonts w:hint="default" w:asciiTheme="minorEastAsia" w:hAnsiTheme="minorEastAsia" w:eastAsiaTheme="minorEastAsia" w:cstheme="minorEastAsia"/>
                <w:color w:val="000000"/>
                <w:sz w:val="24"/>
                <w:szCs w:val="24"/>
                <w:lang w:val="en-US" w:eastAsia="zh-CN"/>
              </w:rPr>
              <w:t>水污染防治措施：项目运营期废水包括生活污水、实验室清洗废水。生活污水排放量共计65250m3/a，实验室清洗废水量为90m3/a。</w:t>
            </w:r>
          </w:p>
          <w:p w14:paraId="09F3146C">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根据报告表调查，本项目所在地位于汕头市龙珠水质净化厂纳污范围内，且周边污水管网已完善。</w:t>
            </w:r>
          </w:p>
          <w:p w14:paraId="4BDC4F89">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项目的生活废水经三级化粪池预处理、实验室废水经“酸碱污水处理系统”预处理后，达到广东省地方标准《水污染物排放限值》（DB44/26-2001）第二时段三级标准及汕头市龙珠水质净化厂进水水质要求的较严者，再通过市政污水管网排入汕头市龙珠水质净化厂处理。</w:t>
            </w:r>
          </w:p>
          <w:p w14:paraId="480C5C9C">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噪声污染防治措施：项目运营期间主要噪声来源于教学噪声、学生噪声和汽车噪声，噪声源强范围在75~115dB（A）。</w:t>
            </w:r>
          </w:p>
          <w:p w14:paraId="4C04F462">
            <w:pPr>
              <w:keepNext w:val="0"/>
              <w:keepLines w:val="0"/>
              <w:pageBreakBefore w:val="0"/>
              <w:widowControl w:val="0"/>
              <w:kinsoku/>
              <w:wordWrap/>
              <w:overflowPunct/>
              <w:topLinePunct w:val="0"/>
              <w:autoSpaceDE/>
              <w:autoSpaceDN/>
              <w:bidi w:val="0"/>
              <w:spacing w:line="440" w:lineRule="exact"/>
              <w:ind w:firstLine="420"/>
              <w:textAlignment w:val="auto"/>
              <w:rPr>
                <w:rFonts w:hint="eastAsia"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在采取建筑物围墙及学校外墙隔声，加强管理的情况下，项目厂界噪声可达到《工业企业厂界环境噪声排放标准》(GB12348-2008)2类和4类标准。项目在采取降噪措施、加强管理等措施的情况下，对项目周边声环境的影响较小。</w:t>
            </w:r>
          </w:p>
          <w:p w14:paraId="0BDF7D6E">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4.固体废物防治措施：项目运营过程产生的固体废物主要包括学生和教职工产生的生活垃圾、食堂产生的餐饮垃圾、危险废物等。</w:t>
            </w:r>
          </w:p>
          <w:p w14:paraId="3B917952">
            <w:pPr>
              <w:keepNext w:val="0"/>
              <w:keepLines w:val="0"/>
              <w:pageBreakBefore w:val="0"/>
              <w:widowControl w:val="0"/>
              <w:kinsoku/>
              <w:wordWrap/>
              <w:overflowPunct/>
              <w:topLinePunct w:val="0"/>
              <w:autoSpaceDE/>
              <w:autoSpaceDN/>
              <w:bidi w:val="0"/>
              <w:spacing w:line="440" w:lineRule="exact"/>
              <w:ind w:firstLine="420"/>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危险废物主要为实验室废包装容器和防护用品，收集后密封放置于专用贮存场所，并委托具有危废资质单位处理。</w:t>
            </w:r>
          </w:p>
          <w:p w14:paraId="72651389">
            <w:pPr>
              <w:keepNext w:val="0"/>
              <w:keepLines w:val="0"/>
              <w:pageBreakBefore w:val="0"/>
              <w:widowControl w:val="0"/>
              <w:kinsoku/>
              <w:wordWrap/>
              <w:overflowPunct/>
              <w:topLinePunct w:val="0"/>
              <w:autoSpaceDE/>
              <w:autoSpaceDN/>
              <w:bidi w:val="0"/>
              <w:spacing w:line="440" w:lineRule="exact"/>
              <w:ind w:firstLine="42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餐饮垃圾、生活垃圾交由环卫部门处理；最终达到固体废物的零排放。</w:t>
            </w:r>
          </w:p>
          <w:p w14:paraId="524617D1">
            <w:pPr>
              <w:keepNext w:val="0"/>
              <w:keepLines w:val="0"/>
              <w:pageBreakBefore w:val="0"/>
              <w:widowControl w:val="0"/>
              <w:kinsoku/>
              <w:wordWrap/>
              <w:overflowPunct/>
              <w:topLinePunct w:val="0"/>
              <w:autoSpaceDE/>
              <w:autoSpaceDN/>
              <w:bidi w:val="0"/>
              <w:spacing w:line="440" w:lineRule="exact"/>
              <w:ind w:firstLine="42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5.将项目建筑硬底化，一般固废暂存点和危废暂存点均做好</w:t>
            </w:r>
            <w:bookmarkStart w:id="0" w:name="_GoBack"/>
            <w:bookmarkEnd w:id="0"/>
            <w:r>
              <w:rPr>
                <w:rFonts w:hint="eastAsia" w:asciiTheme="minorEastAsia" w:hAnsiTheme="minorEastAsia" w:eastAsiaTheme="minorEastAsia" w:cstheme="minorEastAsia"/>
                <w:color w:val="000000"/>
                <w:sz w:val="24"/>
                <w:szCs w:val="24"/>
                <w:lang w:val="en-US" w:eastAsia="zh-CN"/>
              </w:rPr>
              <w:t>防风挡雨、防渗漏等措施，可防止泄漏物料下渗到土壤和地下水，不涉及垂直入渗影响途径。</w:t>
            </w:r>
          </w:p>
          <w:p w14:paraId="3439E8EB">
            <w:pPr>
              <w:keepNext w:val="0"/>
              <w:keepLines w:val="0"/>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三、项目营运期执行如下标准：</w:t>
            </w:r>
          </w:p>
          <w:p w14:paraId="4455E435">
            <w:pPr>
              <w:keepNext w:val="0"/>
              <w:keepLines w:val="0"/>
              <w:pageBreakBefore w:val="0"/>
              <w:widowControl w:val="0"/>
              <w:kinsoku/>
              <w:wordWrap/>
              <w:overflowPunct/>
              <w:topLinePunct w:val="0"/>
              <w:autoSpaceDE/>
              <w:autoSpaceDN/>
              <w:bidi w:val="0"/>
              <w:spacing w:line="440" w:lineRule="exact"/>
              <w:ind w:firstLine="42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项目大气污染物排放：公厕和垃圾转运执行</w:t>
            </w:r>
            <w:r>
              <w:rPr>
                <w:rFonts w:hint="default" w:asciiTheme="minorEastAsia" w:hAnsiTheme="minorEastAsia" w:eastAsiaTheme="minorEastAsia" w:cstheme="minorEastAsia"/>
                <w:color w:val="000000"/>
                <w:sz w:val="24"/>
                <w:szCs w:val="24"/>
                <w:lang w:val="en-US" w:eastAsia="zh-CN"/>
              </w:rPr>
              <w:t>《恶臭污染物排放标准》（GB14554-93）厂界二级标准</w:t>
            </w:r>
            <w:r>
              <w:rPr>
                <w:rFonts w:hint="eastAsia" w:asciiTheme="minorEastAsia" w:hAnsiTheme="minorEastAsia" w:eastAsiaTheme="minorEastAsia" w:cstheme="minorEastAsia"/>
                <w:color w:val="000000"/>
                <w:sz w:val="24"/>
                <w:szCs w:val="24"/>
                <w:lang w:val="en-US" w:eastAsia="zh-CN"/>
              </w:rPr>
              <w:t>、厨房油烟执行</w:t>
            </w:r>
            <w:r>
              <w:rPr>
                <w:rFonts w:hint="default" w:asciiTheme="minorEastAsia" w:hAnsiTheme="minorEastAsia" w:eastAsiaTheme="minorEastAsia" w:cstheme="minorEastAsia"/>
                <w:color w:val="000000"/>
                <w:sz w:val="24"/>
                <w:szCs w:val="24"/>
                <w:lang w:val="en-US" w:eastAsia="zh-CN"/>
              </w:rPr>
              <w:t>《饮食业油烟排放标准》(GB18483-2001)</w:t>
            </w:r>
            <w:r>
              <w:rPr>
                <w:rFonts w:hint="eastAsia" w:asciiTheme="minorEastAsia" w:hAnsiTheme="minorEastAsia" w:eastAsiaTheme="minorEastAsia" w:cstheme="minorEastAsia"/>
                <w:color w:val="000000"/>
                <w:sz w:val="24"/>
                <w:szCs w:val="24"/>
                <w:lang w:val="en-US" w:eastAsia="zh-CN"/>
              </w:rPr>
              <w:t>限值。项目厂界噪声应达到《</w:t>
            </w:r>
            <w:r>
              <w:rPr>
                <w:rFonts w:hint="default" w:asciiTheme="minorEastAsia" w:hAnsiTheme="minorEastAsia" w:eastAsiaTheme="minorEastAsia" w:cstheme="minorEastAsia"/>
                <w:color w:val="000000"/>
                <w:sz w:val="24"/>
                <w:szCs w:val="24"/>
                <w:lang w:val="en-US" w:eastAsia="zh-CN"/>
              </w:rPr>
              <w:t>工业企业厂界环境噪声排放标准》(GB12348-2008)2类和4类标准</w:t>
            </w:r>
            <w:r>
              <w:rPr>
                <w:rFonts w:hint="eastAsia" w:asciiTheme="minorEastAsia" w:hAnsiTheme="minorEastAsia" w:eastAsiaTheme="minorEastAsia" w:cstheme="minorEastAsia"/>
                <w:color w:val="000000"/>
                <w:sz w:val="24"/>
                <w:szCs w:val="24"/>
                <w:lang w:val="en-US" w:eastAsia="zh-CN"/>
              </w:rPr>
              <w:t>。项目废水污染物排放执行广东省《水污染物排放限值》（DB44/26-2001）第二时段三级标准。</w:t>
            </w:r>
          </w:p>
          <w:p w14:paraId="067AD515">
            <w:pPr>
              <w:keepNext w:val="0"/>
              <w:keepLines w:val="0"/>
              <w:pageBreakBefore w:val="0"/>
              <w:widowControl w:val="0"/>
              <w:kinsoku/>
              <w:wordWrap/>
              <w:overflowPunct/>
              <w:topLinePunct w:val="0"/>
              <w:autoSpaceDE/>
              <w:autoSpaceDN/>
              <w:bidi w:val="0"/>
              <w:spacing w:line="440" w:lineRule="exact"/>
              <w:ind w:firstLine="42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本意见抄送汕头市生态环境保护综合执法局</w:t>
            </w:r>
            <w:r>
              <w:rPr>
                <w:rFonts w:hint="eastAsia" w:asciiTheme="minorEastAsia" w:hAnsiTheme="minorEastAsia" w:eastAsiaTheme="minorEastAsia" w:cstheme="minorEastAsia"/>
                <w:b/>
                <w:color w:val="000000"/>
                <w:sz w:val="24"/>
                <w:szCs w:val="24"/>
                <w:lang w:eastAsia="zh-CN"/>
              </w:rPr>
              <w:t>龙湖</w:t>
            </w:r>
            <w:r>
              <w:rPr>
                <w:rFonts w:hint="eastAsia" w:asciiTheme="minorEastAsia" w:hAnsiTheme="minorEastAsia" w:eastAsiaTheme="minorEastAsia" w:cstheme="minorEastAsia"/>
                <w:b/>
                <w:color w:val="000000"/>
                <w:sz w:val="24"/>
                <w:szCs w:val="24"/>
              </w:rPr>
              <w:t>分局，</w:t>
            </w:r>
            <w:r>
              <w:rPr>
                <w:rFonts w:hint="eastAsia" w:asciiTheme="minorEastAsia" w:hAnsiTheme="minorEastAsia" w:eastAsiaTheme="minorEastAsia" w:cstheme="minorEastAsia"/>
                <w:color w:val="000000"/>
                <w:sz w:val="24"/>
                <w:szCs w:val="24"/>
              </w:rPr>
              <w:t>项目的环境监察工作由汕头市生态环境保护综合执法局</w:t>
            </w:r>
            <w:r>
              <w:rPr>
                <w:rFonts w:hint="eastAsia" w:asciiTheme="minorEastAsia" w:hAnsiTheme="minorEastAsia" w:eastAsiaTheme="minorEastAsia" w:cstheme="minorEastAsia"/>
                <w:color w:val="000000"/>
                <w:sz w:val="24"/>
                <w:szCs w:val="24"/>
                <w:lang w:eastAsia="zh-CN"/>
              </w:rPr>
              <w:t>龙湖</w:t>
            </w:r>
            <w:r>
              <w:rPr>
                <w:rFonts w:hint="eastAsia" w:asciiTheme="minorEastAsia" w:hAnsiTheme="minorEastAsia" w:eastAsiaTheme="minorEastAsia" w:cstheme="minorEastAsia"/>
                <w:color w:val="000000"/>
                <w:sz w:val="24"/>
                <w:szCs w:val="24"/>
              </w:rPr>
              <w:t xml:space="preserve">分局负责。 </w:t>
            </w:r>
            <w:r>
              <w:rPr>
                <w:rFonts w:hint="eastAsia" w:asciiTheme="minorEastAsia" w:hAnsiTheme="minorEastAsia" w:eastAsiaTheme="minorEastAsia" w:cstheme="minorEastAsia"/>
                <w:sz w:val="24"/>
                <w:szCs w:val="24"/>
              </w:rPr>
              <w:t xml:space="preserve">                             </w:t>
            </w:r>
          </w:p>
          <w:p w14:paraId="22FE33F5">
            <w:pPr>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Theme="minorEastAsia" w:hAnsiTheme="minorEastAsia" w:eastAsiaTheme="minorEastAsia" w:cstheme="minorEastAsia"/>
                <w:sz w:val="24"/>
                <w:szCs w:val="24"/>
              </w:rPr>
            </w:pPr>
          </w:p>
          <w:p w14:paraId="15371FC8">
            <w:pPr>
              <w:keepNext w:val="0"/>
              <w:keepLines w:val="0"/>
              <w:pageBreakBefore w:val="0"/>
              <w:widowControl w:val="0"/>
              <w:kinsoku/>
              <w:wordWrap/>
              <w:overflowPunct/>
              <w:topLinePunct w:val="0"/>
              <w:autoSpaceDE/>
              <w:autoSpaceDN/>
              <w:bidi w:val="0"/>
              <w:spacing w:line="400" w:lineRule="exact"/>
              <w:ind w:firstLine="42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经办人： </w:t>
            </w:r>
          </w:p>
          <w:p w14:paraId="470E559B">
            <w:pPr>
              <w:keepNext w:val="0"/>
              <w:keepLines w:val="0"/>
              <w:pageBreakBefore w:val="0"/>
              <w:widowControl w:val="0"/>
              <w:kinsoku/>
              <w:wordWrap/>
              <w:overflowPunct/>
              <w:topLinePunct w:val="0"/>
              <w:autoSpaceDE/>
              <w:autoSpaceDN/>
              <w:bidi w:val="0"/>
              <w:spacing w:line="400" w:lineRule="exact"/>
              <w:ind w:firstLine="420"/>
              <w:jc w:val="center"/>
              <w:textAlignment w:val="auto"/>
              <w:rPr>
                <w:rFonts w:hint="eastAsia" w:asciiTheme="minorEastAsia" w:hAnsiTheme="minorEastAsia" w:eastAsiaTheme="minorEastAsia" w:cstheme="minorEastAsia"/>
                <w:sz w:val="24"/>
                <w:szCs w:val="24"/>
              </w:rPr>
            </w:pPr>
          </w:p>
          <w:p w14:paraId="4CD333D8">
            <w:pPr>
              <w:keepNext w:val="0"/>
              <w:keepLines w:val="0"/>
              <w:pageBreakBefore w:val="0"/>
              <w:widowControl w:val="0"/>
              <w:kinsoku/>
              <w:wordWrap/>
              <w:overflowPunct/>
              <w:topLinePunct w:val="0"/>
              <w:autoSpaceDE/>
              <w:autoSpaceDN/>
              <w:bidi w:val="0"/>
              <w:spacing w:line="400" w:lineRule="exact"/>
              <w:ind w:firstLine="42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F5246DF">
            <w:pPr>
              <w:keepNext w:val="0"/>
              <w:keepLines w:val="0"/>
              <w:pageBreakBefore w:val="0"/>
              <w:widowControl w:val="0"/>
              <w:kinsoku/>
              <w:wordWrap/>
              <w:overflowPunct/>
              <w:topLinePunct w:val="0"/>
              <w:autoSpaceDE/>
              <w:autoSpaceDN/>
              <w:bidi w:val="0"/>
              <w:spacing w:line="400" w:lineRule="exact"/>
              <w:ind w:firstLine="42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5A271265">
            <w:pPr>
              <w:keepNext w:val="0"/>
              <w:keepLines w:val="0"/>
              <w:pageBreakBefore w:val="0"/>
              <w:widowControl w:val="0"/>
              <w:kinsoku/>
              <w:wordWrap/>
              <w:overflowPunct/>
              <w:topLinePunct w:val="0"/>
              <w:autoSpaceDE/>
              <w:autoSpaceDN/>
              <w:bidi w:val="0"/>
              <w:spacing w:line="400" w:lineRule="exact"/>
              <w:ind w:firstLine="420"/>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公  章</w:t>
            </w:r>
          </w:p>
          <w:p w14:paraId="6C8400CC">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日</w:t>
            </w:r>
          </w:p>
          <w:p w14:paraId="735A3597">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Theme="minorEastAsia" w:hAnsiTheme="minorEastAsia" w:eastAsiaTheme="minorEastAsia" w:cstheme="minorEastAsia"/>
                <w:sz w:val="24"/>
                <w:szCs w:val="24"/>
              </w:rPr>
            </w:pPr>
          </w:p>
        </w:tc>
      </w:tr>
      <w:tr w14:paraId="2AAF855D">
        <w:tblPrEx>
          <w:tblCellMar>
            <w:top w:w="0" w:type="dxa"/>
            <w:left w:w="108" w:type="dxa"/>
            <w:bottom w:w="0" w:type="dxa"/>
            <w:right w:w="108" w:type="dxa"/>
          </w:tblCellMar>
        </w:tblPrEx>
        <w:trPr>
          <w:jc w:val="center"/>
        </w:trPr>
        <w:tc>
          <w:tcPr>
            <w:tcW w:w="9526" w:type="dxa"/>
            <w:tcBorders>
              <w:top w:val="single" w:color="000000" w:sz="12" w:space="0"/>
              <w:left w:val="single" w:color="000000" w:sz="12" w:space="0"/>
              <w:bottom w:val="single" w:color="000000" w:sz="12" w:space="0"/>
              <w:right w:val="single" w:color="000000" w:sz="12" w:space="0"/>
            </w:tcBorders>
            <w:tcMar>
              <w:top w:w="0" w:type="dxa"/>
              <w:left w:w="28" w:type="dxa"/>
              <w:bottom w:w="0" w:type="dxa"/>
              <w:right w:w="28" w:type="dxa"/>
            </w:tcMar>
          </w:tcPr>
          <w:p w14:paraId="38FD68E8">
            <w:pPr>
              <w:keepNext w:val="0"/>
              <w:keepLines w:val="0"/>
              <w:pageBreakBefore w:val="0"/>
              <w:widowControl w:val="0"/>
              <w:kinsoku/>
              <w:wordWrap/>
              <w:overflowPunct/>
              <w:topLinePunct w:val="0"/>
              <w:autoSpaceDE/>
              <w:autoSpaceDN/>
              <w:bidi w:val="0"/>
              <w:spacing w:line="400" w:lineRule="exact"/>
              <w:ind w:firstLine="422"/>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注意事项：</w:t>
            </w:r>
          </w:p>
          <w:p w14:paraId="2EFC707A">
            <w:pPr>
              <w:keepNext w:val="0"/>
              <w:keepLines w:val="0"/>
              <w:pageBreakBefore w:val="0"/>
              <w:widowControl w:val="0"/>
              <w:kinsoku/>
              <w:wordWrap/>
              <w:overflowPunct/>
              <w:topLinePunct w:val="0"/>
              <w:autoSpaceDE/>
              <w:autoSpaceDN/>
              <w:bidi w:val="0"/>
              <w:spacing w:line="400" w:lineRule="exact"/>
              <w:ind w:firstLine="42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1、在项目建成后，建设单位需在规定时间内按相关要求开展建设项目竣工环境保护验收工作；</w:t>
            </w:r>
          </w:p>
          <w:p w14:paraId="6407ADFD">
            <w:pPr>
              <w:keepNext w:val="0"/>
              <w:keepLines w:val="0"/>
              <w:pageBreakBefore w:val="0"/>
              <w:widowControl w:val="0"/>
              <w:kinsoku/>
              <w:wordWrap/>
              <w:overflowPunct/>
              <w:topLinePunct w:val="0"/>
              <w:autoSpaceDE/>
              <w:autoSpaceDN/>
              <w:bidi w:val="0"/>
              <w:spacing w:line="400" w:lineRule="exact"/>
              <w:ind w:firstLine="42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2、有土建工程的项目，应在土建施工前到市生态环境局办理建筑施工排污申报登记和缴交建筑施工排污费等手续；</w:t>
            </w:r>
          </w:p>
          <w:p w14:paraId="773929D6">
            <w:pPr>
              <w:keepNext w:val="0"/>
              <w:keepLines w:val="0"/>
              <w:pageBreakBefore w:val="0"/>
              <w:widowControl w:val="0"/>
              <w:kinsoku/>
              <w:wordWrap/>
              <w:overflowPunct/>
              <w:topLinePunct w:val="0"/>
              <w:autoSpaceDE/>
              <w:autoSpaceDN/>
              <w:bidi w:val="0"/>
              <w:spacing w:line="400" w:lineRule="exact"/>
              <w:ind w:firstLine="420"/>
              <w:textAlignment w:val="auto"/>
              <w:rPr>
                <w:sz w:val="24"/>
                <w:szCs w:val="24"/>
              </w:rPr>
            </w:pPr>
            <w:r>
              <w:rPr>
                <w:rFonts w:hint="eastAsia" w:asciiTheme="minorEastAsia" w:hAnsiTheme="minorEastAsia" w:eastAsiaTheme="minorEastAsia" w:cstheme="minorEastAsia"/>
                <w:sz w:val="24"/>
                <w:szCs w:val="24"/>
              </w:rPr>
              <w:t>3、逾期不开展竣工环保验收工作，或不办理建筑施工排污申报和缴交排污费，生态环境部门将依照环境保护法律法规进行处理。</w:t>
            </w:r>
          </w:p>
        </w:tc>
      </w:tr>
    </w:tbl>
    <w:p w14:paraId="626C2D28">
      <w:pPr>
        <w:keepNext w:val="0"/>
        <w:keepLines w:val="0"/>
        <w:pageBreakBefore w:val="0"/>
        <w:widowControl w:val="0"/>
        <w:kinsoku/>
        <w:wordWrap/>
        <w:overflowPunct/>
        <w:topLinePunct w:val="0"/>
        <w:autoSpaceDE/>
        <w:autoSpaceDN/>
        <w:bidi w:val="0"/>
        <w:spacing w:line="400" w:lineRule="exact"/>
        <w:ind w:firstLine="0" w:firstLineChars="0"/>
        <w:textAlignment w:val="auto"/>
        <w:rPr>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469B">
    <w:pPr>
      <w:pStyle w:val="3"/>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B38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235CB">
    <w:pPr>
      <w:pStyle w:val="3"/>
      <w:jc w:val="both"/>
      <w:rPr>
        <w:rFonts w:ascii="Times New Roman" w:hAnsi="Times New Roman" w:cs="Times New Roman"/>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E1A2E81">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p w14:paraId="2A25F285">
    <w:pPr>
      <w:pStyle w:val="3"/>
      <w:jc w:val="both"/>
      <w:rPr>
        <w:rFonts w:ascii="Times New Roman" w:hAnsi="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66069">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C09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E8E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3NGE5ZDY2YjFiMTA3ZWJjNmIzODdiNWRkNWU4ZmMifQ=="/>
  </w:docVars>
  <w:rsids>
    <w:rsidRoot w:val="00172A27"/>
    <w:rsid w:val="000120D2"/>
    <w:rsid w:val="00017838"/>
    <w:rsid w:val="00026DFD"/>
    <w:rsid w:val="00083264"/>
    <w:rsid w:val="00104971"/>
    <w:rsid w:val="00133408"/>
    <w:rsid w:val="00191F7A"/>
    <w:rsid w:val="001E2667"/>
    <w:rsid w:val="001E31CC"/>
    <w:rsid w:val="001E7676"/>
    <w:rsid w:val="001F0B1E"/>
    <w:rsid w:val="00210DAB"/>
    <w:rsid w:val="002472B0"/>
    <w:rsid w:val="0025561A"/>
    <w:rsid w:val="002664A5"/>
    <w:rsid w:val="00270472"/>
    <w:rsid w:val="00271AF4"/>
    <w:rsid w:val="00276B2D"/>
    <w:rsid w:val="00295785"/>
    <w:rsid w:val="00296C0B"/>
    <w:rsid w:val="002A1EEA"/>
    <w:rsid w:val="002A4A6C"/>
    <w:rsid w:val="002D04F7"/>
    <w:rsid w:val="002E08D1"/>
    <w:rsid w:val="002E13D5"/>
    <w:rsid w:val="002E494F"/>
    <w:rsid w:val="002F02C7"/>
    <w:rsid w:val="003103DE"/>
    <w:rsid w:val="00366902"/>
    <w:rsid w:val="00374A98"/>
    <w:rsid w:val="00384F11"/>
    <w:rsid w:val="00393FAD"/>
    <w:rsid w:val="003953FB"/>
    <w:rsid w:val="003C067A"/>
    <w:rsid w:val="003C5E4F"/>
    <w:rsid w:val="003D40F6"/>
    <w:rsid w:val="003D4142"/>
    <w:rsid w:val="003E1CF4"/>
    <w:rsid w:val="00446179"/>
    <w:rsid w:val="0048455C"/>
    <w:rsid w:val="00495C9F"/>
    <w:rsid w:val="004A60B3"/>
    <w:rsid w:val="004D3239"/>
    <w:rsid w:val="004D74EF"/>
    <w:rsid w:val="005226A4"/>
    <w:rsid w:val="005763F4"/>
    <w:rsid w:val="005B4631"/>
    <w:rsid w:val="005F59D8"/>
    <w:rsid w:val="00606D1D"/>
    <w:rsid w:val="006224EF"/>
    <w:rsid w:val="0067095A"/>
    <w:rsid w:val="00695EDF"/>
    <w:rsid w:val="006D73D3"/>
    <w:rsid w:val="006D777F"/>
    <w:rsid w:val="006E3A4E"/>
    <w:rsid w:val="00706844"/>
    <w:rsid w:val="00710036"/>
    <w:rsid w:val="00711ED0"/>
    <w:rsid w:val="00721009"/>
    <w:rsid w:val="0072169D"/>
    <w:rsid w:val="007333CA"/>
    <w:rsid w:val="00734025"/>
    <w:rsid w:val="00736D16"/>
    <w:rsid w:val="00744471"/>
    <w:rsid w:val="00755269"/>
    <w:rsid w:val="00776B49"/>
    <w:rsid w:val="0079085E"/>
    <w:rsid w:val="00791BFD"/>
    <w:rsid w:val="007964B8"/>
    <w:rsid w:val="007B5C99"/>
    <w:rsid w:val="007C37AC"/>
    <w:rsid w:val="007C78F0"/>
    <w:rsid w:val="007E650C"/>
    <w:rsid w:val="007F2A55"/>
    <w:rsid w:val="00841A68"/>
    <w:rsid w:val="00862BA6"/>
    <w:rsid w:val="00875294"/>
    <w:rsid w:val="00881224"/>
    <w:rsid w:val="008846D3"/>
    <w:rsid w:val="00897AE6"/>
    <w:rsid w:val="008A7650"/>
    <w:rsid w:val="008B0051"/>
    <w:rsid w:val="008C18F9"/>
    <w:rsid w:val="008F03EE"/>
    <w:rsid w:val="009130C2"/>
    <w:rsid w:val="00932C75"/>
    <w:rsid w:val="00940510"/>
    <w:rsid w:val="009515E1"/>
    <w:rsid w:val="009B1FA9"/>
    <w:rsid w:val="009B6265"/>
    <w:rsid w:val="009C2E8C"/>
    <w:rsid w:val="009D1882"/>
    <w:rsid w:val="009D453A"/>
    <w:rsid w:val="00A70CDD"/>
    <w:rsid w:val="00A779FB"/>
    <w:rsid w:val="00AB47FD"/>
    <w:rsid w:val="00AC4058"/>
    <w:rsid w:val="00B068D3"/>
    <w:rsid w:val="00B310B2"/>
    <w:rsid w:val="00B51C8B"/>
    <w:rsid w:val="00B60A96"/>
    <w:rsid w:val="00B9256D"/>
    <w:rsid w:val="00B935AC"/>
    <w:rsid w:val="00B953CC"/>
    <w:rsid w:val="00B956D7"/>
    <w:rsid w:val="00BA2832"/>
    <w:rsid w:val="00C806ED"/>
    <w:rsid w:val="00C81703"/>
    <w:rsid w:val="00CB38B8"/>
    <w:rsid w:val="00D011C0"/>
    <w:rsid w:val="00D02AE6"/>
    <w:rsid w:val="00D51F10"/>
    <w:rsid w:val="00D738A0"/>
    <w:rsid w:val="00D84C49"/>
    <w:rsid w:val="00DF4892"/>
    <w:rsid w:val="00E0468C"/>
    <w:rsid w:val="00E10F49"/>
    <w:rsid w:val="00E35A54"/>
    <w:rsid w:val="00E41C26"/>
    <w:rsid w:val="00E569F7"/>
    <w:rsid w:val="00EA43DF"/>
    <w:rsid w:val="00EB4676"/>
    <w:rsid w:val="00EB6F85"/>
    <w:rsid w:val="00ED4954"/>
    <w:rsid w:val="00EF06C7"/>
    <w:rsid w:val="00F266C6"/>
    <w:rsid w:val="00F42E53"/>
    <w:rsid w:val="00F753F9"/>
    <w:rsid w:val="00F83B08"/>
    <w:rsid w:val="00F847FC"/>
    <w:rsid w:val="00F94246"/>
    <w:rsid w:val="00F95DBE"/>
    <w:rsid w:val="00FB73EA"/>
    <w:rsid w:val="00FC406A"/>
    <w:rsid w:val="05EC01EE"/>
    <w:rsid w:val="07905CA5"/>
    <w:rsid w:val="0A81324E"/>
    <w:rsid w:val="0C0551CF"/>
    <w:rsid w:val="0C0771E5"/>
    <w:rsid w:val="0D8140F5"/>
    <w:rsid w:val="0E6745B7"/>
    <w:rsid w:val="0E702CBD"/>
    <w:rsid w:val="107072AE"/>
    <w:rsid w:val="10DE13A6"/>
    <w:rsid w:val="11C4617C"/>
    <w:rsid w:val="13BB528C"/>
    <w:rsid w:val="15581B10"/>
    <w:rsid w:val="15A9674C"/>
    <w:rsid w:val="176E6D2C"/>
    <w:rsid w:val="177F299F"/>
    <w:rsid w:val="183F49D8"/>
    <w:rsid w:val="18E86169"/>
    <w:rsid w:val="1AC4165D"/>
    <w:rsid w:val="1B3E6342"/>
    <w:rsid w:val="1BC3623F"/>
    <w:rsid w:val="21EA1640"/>
    <w:rsid w:val="24BE5A59"/>
    <w:rsid w:val="257D4DB6"/>
    <w:rsid w:val="25B766C6"/>
    <w:rsid w:val="27217E2B"/>
    <w:rsid w:val="27FE194F"/>
    <w:rsid w:val="286D6590"/>
    <w:rsid w:val="2A401826"/>
    <w:rsid w:val="2A452D3E"/>
    <w:rsid w:val="2B2500C4"/>
    <w:rsid w:val="2C8E4CF4"/>
    <w:rsid w:val="2CF66E50"/>
    <w:rsid w:val="2F76460A"/>
    <w:rsid w:val="333D5E64"/>
    <w:rsid w:val="359F247F"/>
    <w:rsid w:val="363E5843"/>
    <w:rsid w:val="3A2C7BEC"/>
    <w:rsid w:val="3BB4280D"/>
    <w:rsid w:val="3C0628BE"/>
    <w:rsid w:val="3CB728ED"/>
    <w:rsid w:val="3CCC26BC"/>
    <w:rsid w:val="3ECA33C2"/>
    <w:rsid w:val="3F6C49E5"/>
    <w:rsid w:val="429A3516"/>
    <w:rsid w:val="44AD2CAC"/>
    <w:rsid w:val="44C32388"/>
    <w:rsid w:val="459552DF"/>
    <w:rsid w:val="45F27E70"/>
    <w:rsid w:val="48693FA1"/>
    <w:rsid w:val="493B7DEB"/>
    <w:rsid w:val="4BCF1244"/>
    <w:rsid w:val="4BDA65EB"/>
    <w:rsid w:val="4C771B5E"/>
    <w:rsid w:val="4C983C65"/>
    <w:rsid w:val="4D823F0E"/>
    <w:rsid w:val="4ECC5348"/>
    <w:rsid w:val="4FAB1633"/>
    <w:rsid w:val="51FD2A00"/>
    <w:rsid w:val="52C70486"/>
    <w:rsid w:val="52CE4175"/>
    <w:rsid w:val="56C040A6"/>
    <w:rsid w:val="57126543"/>
    <w:rsid w:val="5742188D"/>
    <w:rsid w:val="58C6433B"/>
    <w:rsid w:val="5A99515F"/>
    <w:rsid w:val="5B7F2EDD"/>
    <w:rsid w:val="5BED0A57"/>
    <w:rsid w:val="5D6D70A7"/>
    <w:rsid w:val="61A40F90"/>
    <w:rsid w:val="61DF68F5"/>
    <w:rsid w:val="632440FD"/>
    <w:rsid w:val="63283BE4"/>
    <w:rsid w:val="65B2024F"/>
    <w:rsid w:val="66284C18"/>
    <w:rsid w:val="68BA7960"/>
    <w:rsid w:val="69861694"/>
    <w:rsid w:val="6B7A5341"/>
    <w:rsid w:val="6C274903"/>
    <w:rsid w:val="6C503797"/>
    <w:rsid w:val="6D9D0E96"/>
    <w:rsid w:val="6DCB5BA5"/>
    <w:rsid w:val="6EE10C66"/>
    <w:rsid w:val="6F732601"/>
    <w:rsid w:val="6F9903D4"/>
    <w:rsid w:val="71C443CE"/>
    <w:rsid w:val="726A49BE"/>
    <w:rsid w:val="729E39B7"/>
    <w:rsid w:val="76726FC9"/>
    <w:rsid w:val="77D04293"/>
    <w:rsid w:val="78B84211"/>
    <w:rsid w:val="7C632730"/>
    <w:rsid w:val="7C94480F"/>
    <w:rsid w:val="7CB5248E"/>
    <w:rsid w:val="7D117D38"/>
    <w:rsid w:val="7D92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unhideWhenUsed/>
    <w:qFormat/>
    <w:uiPriority w:val="99"/>
    <w:pPr>
      <w:spacing w:line="240" w:lineRule="auto"/>
    </w:pPr>
    <w:rPr>
      <w:sz w:val="18"/>
      <w:szCs w:val="18"/>
    </w:rPr>
  </w:style>
  <w:style w:type="paragraph" w:styleId="3">
    <w:name w:val="footer"/>
    <w:basedOn w:val="1"/>
    <w:link w:val="10"/>
    <w:autoRedefine/>
    <w:unhideWhenUsed/>
    <w:qFormat/>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5">
    <w:name w:val="Normal (Web)"/>
    <w:basedOn w:val="1"/>
    <w:autoRedefine/>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rPr>
  </w:style>
  <w:style w:type="character" w:styleId="8">
    <w:name w:val="page number"/>
    <w:basedOn w:val="7"/>
    <w:autoRedefine/>
    <w:unhideWhenUsed/>
    <w:qFormat/>
    <w:uiPriority w:val="99"/>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qFormat/>
    <w:uiPriority w:val="99"/>
    <w:rPr>
      <w:sz w:val="18"/>
      <w:szCs w:val="18"/>
    </w:rPr>
  </w:style>
  <w:style w:type="paragraph" w:styleId="11">
    <w:name w:val="List Paragraph"/>
    <w:basedOn w:val="1"/>
    <w:autoRedefine/>
    <w:qFormat/>
    <w:uiPriority w:val="34"/>
    <w:pPr>
      <w:ind w:firstLine="420"/>
    </w:pPr>
  </w:style>
  <w:style w:type="character" w:customStyle="1" w:styleId="12">
    <w:name w:val="表格文字 Char"/>
    <w:link w:val="13"/>
    <w:autoRedefine/>
    <w:qFormat/>
    <w:uiPriority w:val="0"/>
    <w:rPr>
      <w:szCs w:val="24"/>
    </w:rPr>
  </w:style>
  <w:style w:type="paragraph" w:customStyle="1" w:styleId="13">
    <w:name w:val="表格文字"/>
    <w:basedOn w:val="1"/>
    <w:link w:val="12"/>
    <w:autoRedefine/>
    <w:qFormat/>
    <w:uiPriority w:val="0"/>
    <w:pPr>
      <w:spacing w:line="288" w:lineRule="auto"/>
      <w:ind w:firstLine="0" w:firstLineChars="0"/>
      <w:jc w:val="center"/>
    </w:pPr>
    <w:rPr>
      <w:rFonts w:asciiTheme="minorHAnsi" w:hAnsiTheme="minorHAnsi" w:eastAsiaTheme="minorEastAsia" w:cstheme="minorBidi"/>
      <w:sz w:val="21"/>
    </w:rPr>
  </w:style>
  <w:style w:type="character" w:customStyle="1" w:styleId="14">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2086</Words>
  <Characters>2240</Characters>
  <Lines>8</Lines>
  <Paragraphs>2</Paragraphs>
  <TotalTime>3</TotalTime>
  <ScaleCrop>false</ScaleCrop>
  <LinksUpToDate>false</LinksUpToDate>
  <CharactersWithSpaces>2418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2017-01-16T07:18:00Z</dcterms:created>
  <dc:creator>user</dc:creator>
  <cp:lastModifiedBy>柿子</cp:lastModifiedBy>
  <cp:lastPrinted>2024-10-15T06:58:34Z</cp:lastPrinted>
  <dcterms:modified xsi:type="dcterms:W3CDTF">2024-10-15T06:59:31Z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53A492B351FB4F2EBFC555086D5DDE34_13</vt:lpwstr>
  </property>
</Properties>
</file>