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88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部门：</w:t>
            </w:r>
            <w:bookmarkStart w:id="0" w:name="PO_part2Table7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汕头市科学技术局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（本级）</w:t>
            </w:r>
            <w:bookmarkStart w:id="1" w:name="_GoBack"/>
            <w:bookmarkEnd w:id="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公务用车购置及运行费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运行费</w:t>
            </w:r>
          </w:p>
        </w:tc>
        <w:tc>
          <w:tcPr>
            <w:tcW w:w="1182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运行费</w:t>
            </w:r>
          </w:p>
        </w:tc>
        <w:tc>
          <w:tcPr>
            <w:tcW w:w="117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4.58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2.96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2.96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1.62</w:t>
            </w:r>
          </w:p>
        </w:tc>
      </w:tr>
    </w:tbl>
    <w:p>
      <w:pPr>
        <w:spacing w:line="288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注：本表反映部门本年度</w:t>
      </w:r>
      <w:r>
        <w:rPr>
          <w:rFonts w:hint="eastAsia" w:ascii="宋体" w:hAnsi="宋体" w:cs="宋体"/>
          <w:szCs w:val="21"/>
          <w:lang w:eastAsia="zh-CN"/>
        </w:rPr>
        <w:t>财政拨款</w:t>
      </w:r>
      <w:r>
        <w:rPr>
          <w:rFonts w:hint="eastAsia" w:ascii="宋体" w:hAnsi="宋体" w:cs="宋体"/>
          <w:szCs w:val="21"/>
        </w:rPr>
        <w:t>“三公”经费支出预决算情况。其中，预算数为“三公”经费全年预算数，反映按规定程序调整后的预算数；决算数是包括当年财政拨款和以前年度结转资金安排的实际支出。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947EF"/>
    <w:rsid w:val="0EB22C87"/>
    <w:rsid w:val="41194DE6"/>
    <w:rsid w:val="754B0B5B"/>
    <w:rsid w:val="755255A9"/>
    <w:rsid w:val="7F7F1995"/>
    <w:rsid w:val="FF7FD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HP</dc:creator>
  <cp:lastModifiedBy>uos</cp:lastModifiedBy>
  <cp:lastPrinted>2021-11-02T22:48:00Z</cp:lastPrinted>
  <dcterms:modified xsi:type="dcterms:W3CDTF">2024-10-12T17:56:35Z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4E1A1854180B4CEFB05B189A1BB83BDB_12</vt:lpwstr>
  </property>
</Properties>
</file>