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5DF418D">
      <w:pPr>
        <w:overflowPunct w:val="0"/>
        <w:jc w:val="center"/>
        <w:rPr>
          <w:rFonts w:hint="eastAsia" w:ascii="黑体" w:hAnsi="黑体" w:eastAsia="黑体" w:cs="黑体"/>
          <w:sz w:val="36"/>
          <w:szCs w:val="36"/>
        </w:rPr>
      </w:pPr>
      <w:r>
        <w:rPr>
          <w:rFonts w:hint="eastAsia" w:ascii="黑体" w:hAnsi="黑体" w:eastAsia="黑体" w:cs="黑体"/>
          <w:sz w:val="36"/>
          <w:szCs w:val="36"/>
        </w:rPr>
        <w:t>《</w:t>
      </w:r>
      <w:r>
        <w:rPr>
          <w:rFonts w:hint="eastAsia" w:ascii="黑体" w:hAnsi="黑体" w:eastAsia="黑体" w:cs="Times New Roman"/>
          <w:b/>
          <w:w w:val="90"/>
          <w:sz w:val="36"/>
          <w:szCs w:val="36"/>
        </w:rPr>
        <w:t>南美白对虾高密度养殖池塘建造配套规范</w:t>
      </w:r>
      <w:r>
        <w:rPr>
          <w:rFonts w:hint="eastAsia" w:ascii="黑体" w:hAnsi="黑体" w:eastAsia="黑体" w:cs="黑体"/>
          <w:sz w:val="36"/>
          <w:szCs w:val="36"/>
        </w:rPr>
        <w:t>》</w:t>
      </w:r>
    </w:p>
    <w:p w14:paraId="38326269">
      <w:pPr>
        <w:overflowPunct w:val="0"/>
        <w:jc w:val="center"/>
        <w:rPr>
          <w:rFonts w:hint="eastAsia" w:ascii="黑体" w:hAnsi="黑体" w:eastAsia="黑体" w:cs="黑体"/>
          <w:sz w:val="36"/>
          <w:szCs w:val="36"/>
        </w:rPr>
      </w:pPr>
      <w:r>
        <w:rPr>
          <w:rFonts w:hint="eastAsia" w:ascii="黑体" w:hAnsi="黑体" w:eastAsia="黑体" w:cs="黑体"/>
          <w:sz w:val="36"/>
          <w:szCs w:val="36"/>
        </w:rPr>
        <w:t>编制说明</w:t>
      </w:r>
    </w:p>
    <w:p w14:paraId="7DC57A20">
      <w:pPr>
        <w:overflowPunct w:val="0"/>
        <w:spacing w:line="360" w:lineRule="auto"/>
        <w:ind w:firstLine="480" w:firstLineChars="200"/>
        <w:jc w:val="both"/>
        <w:rPr>
          <w:rFonts w:cs="宋体" w:asciiTheme="minorEastAsia" w:hAnsiTheme="minorEastAsia" w:eastAsiaTheme="minorEastAsia"/>
          <w:sz w:val="24"/>
          <w:szCs w:val="24"/>
          <w:lang w:val="zh-CN"/>
        </w:rPr>
      </w:pPr>
      <w:r>
        <w:rPr>
          <w:rFonts w:hint="eastAsia" w:cs="宋体" w:asciiTheme="minorEastAsia" w:hAnsiTheme="minorEastAsia" w:eastAsiaTheme="minorEastAsia"/>
          <w:sz w:val="24"/>
          <w:szCs w:val="24"/>
          <w:lang w:val="zh-CN"/>
        </w:rPr>
        <w:t>南美白对虾是我市水产最主要养殖品种，已形成规模面积和产业链经济，有2000多亩的高密度养殖池塘，是我市对虾养殖的主要模式，但近年来南美白对虾病害逐渐严重，现有养殖池塘及配套已不能适应生产发展的要求，需要进行适当改造。</w:t>
      </w:r>
    </w:p>
    <w:p w14:paraId="255BB8C0">
      <w:pPr>
        <w:overflowPunct w:val="0"/>
        <w:spacing w:line="360" w:lineRule="auto"/>
        <w:ind w:firstLine="480" w:firstLineChars="200"/>
        <w:jc w:val="both"/>
        <w:rPr>
          <w:rFonts w:cs="宋体" w:asciiTheme="minorEastAsia" w:hAnsiTheme="minorEastAsia" w:eastAsiaTheme="minorEastAsia"/>
          <w:sz w:val="24"/>
          <w:szCs w:val="24"/>
          <w:lang w:val="zh-CN"/>
        </w:rPr>
      </w:pPr>
      <w:r>
        <w:rPr>
          <w:rFonts w:hint="eastAsia" w:cs="宋体" w:asciiTheme="minorEastAsia" w:hAnsiTheme="minorEastAsia" w:eastAsiaTheme="minorEastAsia"/>
          <w:sz w:val="24"/>
          <w:szCs w:val="24"/>
          <w:lang w:val="zh-CN"/>
        </w:rPr>
        <w:t>为提高南美白对虾高密度精养殖的养殖成功率，促进我市对虾养殖业可持续发展，必须对2015年修订的《南美白对虾高密度养殖池塘建造配套规范》进行修订，增补更新部分内容，以规范汕头市南美白对虾养殖，促进我市对虾养殖的可持续发展。争取良好的经济效益。按照标准化法《农业标准化管理方法》的规定，汕头市水产技术推广中心站从总结生产经验的实际出发，重新修订《南美白对虾高密度养殖池塘建造配套规范》标准。以提高对虾产量效益，降低养殖风险，标准化将对我市对虾养殖提供更好的技术支持。</w:t>
      </w:r>
    </w:p>
    <w:p w14:paraId="06292623">
      <w:pPr>
        <w:overflowPunct w:val="0"/>
        <w:spacing w:line="360" w:lineRule="auto"/>
        <w:ind w:firstLine="480" w:firstLineChars="200"/>
        <w:jc w:val="both"/>
        <w:rPr>
          <w:rFonts w:hint="eastAsia" w:cs="Times New Roman" w:asciiTheme="minorEastAsia" w:hAnsiTheme="minorEastAsia" w:eastAsiaTheme="minorEastAsia"/>
          <w:sz w:val="24"/>
          <w:szCs w:val="24"/>
        </w:rPr>
      </w:pPr>
      <w:r>
        <w:rPr>
          <w:rFonts w:hint="eastAsia" w:cs="宋体" w:asciiTheme="minorEastAsia" w:hAnsiTheme="minorEastAsia" w:eastAsiaTheme="minorEastAsia"/>
          <w:sz w:val="24"/>
          <w:szCs w:val="24"/>
          <w:lang w:val="zh-CN"/>
        </w:rPr>
        <w:t>汕头市</w:t>
      </w:r>
      <w:r>
        <w:rPr>
          <w:rFonts w:hint="eastAsia" w:cs="宋体" w:asciiTheme="minorEastAsia" w:hAnsiTheme="minorEastAsia" w:eastAsiaTheme="minorEastAsia"/>
          <w:sz w:val="24"/>
          <w:szCs w:val="24"/>
          <w:lang w:val="en-US" w:eastAsia="zh-CN"/>
        </w:rPr>
        <w:t>果树与水产技术推广</w:t>
      </w:r>
      <w:r>
        <w:rPr>
          <w:rFonts w:hint="eastAsia" w:cs="宋体" w:asciiTheme="minorEastAsia" w:hAnsiTheme="minorEastAsia" w:eastAsiaTheme="minorEastAsia"/>
          <w:sz w:val="24"/>
          <w:szCs w:val="24"/>
          <w:lang w:val="zh-CN"/>
        </w:rPr>
        <w:t>站接受本标准修订的任务后，对我市对虾高位养殖池塘进行了调研，对本标准进行试验验证，对试验结果进行了分析和整理，在取得大量详实资料的基础上，起草小组根据标准化工作导则 第1部分：标准的结构和</w:t>
      </w:r>
      <w:r>
        <w:rPr>
          <w:rFonts w:hint="eastAsia" w:cs="宋体" w:asciiTheme="minorEastAsia" w:hAnsiTheme="minorEastAsia" w:eastAsiaTheme="minorEastAsia"/>
          <w:sz w:val="24"/>
          <w:szCs w:val="24"/>
        </w:rPr>
        <w:t>GB/T 1.1-2020</w:t>
      </w:r>
      <w:r>
        <w:rPr>
          <w:rFonts w:hint="eastAsia" w:cs="宋体" w:asciiTheme="minorEastAsia" w:hAnsiTheme="minorEastAsia" w:eastAsiaTheme="minorEastAsia"/>
          <w:sz w:val="24"/>
          <w:szCs w:val="24"/>
          <w:lang w:val="zh-CN"/>
        </w:rPr>
        <w:t>的编写规则进行编写。本标准主要规定了</w:t>
      </w:r>
      <w:r>
        <w:rPr>
          <w:rFonts w:hint="eastAsia" w:asciiTheme="minorEastAsia" w:hAnsiTheme="minorEastAsia" w:eastAsiaTheme="minorEastAsia"/>
          <w:sz w:val="24"/>
          <w:szCs w:val="24"/>
        </w:rPr>
        <w:t>高密度养殖池塘建设的具体要求(包括选址、池塘规格、海区提水系统的设计、冬棚的设计)以及高密度养殖的池塘配套设施（包括供电、增氧设施配套，储水池配套，集排污配套）等内容。</w:t>
      </w:r>
    </w:p>
    <w:p w14:paraId="7A40C50E">
      <w:pPr>
        <w:overflowPunct w:val="0"/>
        <w:spacing w:line="360" w:lineRule="auto"/>
        <w:ind w:right="-30" w:firstLine="470" w:firstLineChars="196"/>
        <w:jc w:val="both"/>
        <w:rPr>
          <w:rFonts w:hint="eastAsia" w:cs="Times New Roman" w:asciiTheme="minorEastAsia" w:hAnsiTheme="minorEastAsia" w:eastAsiaTheme="minorEastAsia"/>
          <w:sz w:val="24"/>
          <w:szCs w:val="24"/>
          <w:lang w:val="zh-CN"/>
        </w:rPr>
      </w:pPr>
      <w:r>
        <w:rPr>
          <w:rFonts w:cs="Times New Roman" w:asciiTheme="minorEastAsia" w:hAnsiTheme="minorEastAsia" w:eastAsiaTheme="minorEastAsia"/>
          <w:sz w:val="24"/>
          <w:szCs w:val="24"/>
          <w:lang w:val="zh-CN"/>
        </w:rPr>
        <w:t>起草小组于20</w:t>
      </w:r>
      <w:r>
        <w:rPr>
          <w:rFonts w:hint="eastAsia" w:cs="Times New Roman" w:asciiTheme="minorEastAsia" w:hAnsiTheme="minorEastAsia" w:eastAsiaTheme="minorEastAsia"/>
          <w:sz w:val="24"/>
          <w:szCs w:val="24"/>
        </w:rPr>
        <w:t>2</w:t>
      </w:r>
      <w:r>
        <w:rPr>
          <w:rFonts w:hint="eastAsia" w:cs="Times New Roman" w:asciiTheme="minorEastAsia" w:hAnsiTheme="minorEastAsia" w:eastAsiaTheme="minorEastAsia"/>
          <w:sz w:val="24"/>
          <w:szCs w:val="24"/>
          <w:lang w:val="en-US" w:eastAsia="zh-CN"/>
        </w:rPr>
        <w:t>3</w:t>
      </w:r>
      <w:r>
        <w:rPr>
          <w:rFonts w:cs="Times New Roman" w:asciiTheme="minorEastAsia" w:hAnsiTheme="minorEastAsia" w:eastAsiaTheme="minorEastAsia"/>
          <w:sz w:val="24"/>
          <w:szCs w:val="24"/>
          <w:lang w:val="zh-CN"/>
        </w:rPr>
        <w:t>年</w:t>
      </w:r>
      <w:r>
        <w:rPr>
          <w:rFonts w:hint="eastAsia" w:cs="Times New Roman" w:asciiTheme="minorEastAsia" w:hAnsiTheme="minorEastAsia" w:eastAsiaTheme="minorEastAsia"/>
          <w:sz w:val="24"/>
          <w:szCs w:val="24"/>
        </w:rPr>
        <w:t>1</w:t>
      </w:r>
      <w:r>
        <w:rPr>
          <w:rFonts w:hint="eastAsia" w:cs="Times New Roman" w:asciiTheme="minorEastAsia" w:hAnsiTheme="minorEastAsia" w:eastAsiaTheme="minorEastAsia"/>
          <w:sz w:val="24"/>
          <w:szCs w:val="24"/>
          <w:lang w:val="en-US" w:eastAsia="zh-CN"/>
        </w:rPr>
        <w:t>0</w:t>
      </w:r>
      <w:r>
        <w:rPr>
          <w:rFonts w:cs="Times New Roman" w:asciiTheme="minorEastAsia" w:hAnsiTheme="minorEastAsia" w:eastAsiaTheme="minorEastAsia"/>
          <w:sz w:val="24"/>
          <w:szCs w:val="24"/>
          <w:lang w:val="zh-CN"/>
        </w:rPr>
        <w:t>月依据GB/T 1.1</w:t>
      </w:r>
      <w:r>
        <w:rPr>
          <w:rFonts w:hint="eastAsia" w:cs="Times New Roman" w:asciiTheme="minorEastAsia" w:hAnsiTheme="minorEastAsia" w:eastAsiaTheme="minorEastAsia"/>
          <w:sz w:val="24"/>
          <w:szCs w:val="24"/>
        </w:rPr>
        <w:t>-2020</w:t>
      </w:r>
      <w:r>
        <w:rPr>
          <w:rFonts w:cs="Times New Roman" w:asciiTheme="minorEastAsia" w:hAnsiTheme="minorEastAsia" w:eastAsiaTheme="minorEastAsia"/>
          <w:sz w:val="24"/>
          <w:szCs w:val="24"/>
          <w:lang w:val="zh-CN"/>
        </w:rPr>
        <w:t>《标准化工作导则 第1部分：标准的结构和编写规则》，完成了本标准的征求意见稿</w:t>
      </w:r>
      <w:r>
        <w:rPr>
          <w:rFonts w:hint="eastAsia" w:cs="Times New Roman" w:asciiTheme="minorEastAsia" w:hAnsiTheme="minorEastAsia" w:eastAsiaTheme="minorEastAsia"/>
          <w:sz w:val="24"/>
          <w:szCs w:val="24"/>
          <w:lang w:val="zh-CN"/>
        </w:rPr>
        <w:t>，并送行业有关单位专家</w:t>
      </w:r>
      <w:r>
        <w:rPr>
          <w:rFonts w:cs="Times New Roman" w:asciiTheme="minorEastAsia" w:hAnsiTheme="minorEastAsia" w:eastAsiaTheme="minorEastAsia"/>
          <w:sz w:val="24"/>
          <w:szCs w:val="24"/>
          <w:lang w:val="zh-CN"/>
        </w:rPr>
        <w:t>征求</w:t>
      </w:r>
      <w:r>
        <w:rPr>
          <w:rFonts w:hint="eastAsia" w:cs="Times New Roman" w:asciiTheme="minorEastAsia" w:hAnsiTheme="minorEastAsia" w:eastAsiaTheme="minorEastAsia"/>
          <w:sz w:val="24"/>
          <w:szCs w:val="24"/>
          <w:lang w:val="zh-CN"/>
        </w:rPr>
        <w:t>修改</w:t>
      </w:r>
      <w:r>
        <w:rPr>
          <w:rFonts w:cs="Times New Roman" w:asciiTheme="minorEastAsia" w:hAnsiTheme="minorEastAsia" w:eastAsiaTheme="minorEastAsia"/>
          <w:sz w:val="24"/>
          <w:szCs w:val="24"/>
          <w:lang w:val="zh-CN"/>
        </w:rPr>
        <w:t>意见。根据专家反馈意见，并依</w:t>
      </w:r>
      <w:r>
        <w:rPr>
          <w:rFonts w:hint="eastAsia" w:cs="宋体" w:asciiTheme="minorEastAsia" w:hAnsiTheme="minorEastAsia" w:eastAsiaTheme="minorEastAsia"/>
          <w:sz w:val="24"/>
          <w:szCs w:val="24"/>
          <w:lang w:val="zh-CN"/>
        </w:rPr>
        <w:t>据</w:t>
      </w:r>
      <w:r>
        <w:rPr>
          <w:rFonts w:hint="eastAsia" w:cs="宋体" w:asciiTheme="minorEastAsia" w:hAnsiTheme="minorEastAsia" w:eastAsiaTheme="minorEastAsia"/>
          <w:sz w:val="24"/>
          <w:szCs w:val="24"/>
        </w:rPr>
        <w:t>GB/T 1.1-2020</w:t>
      </w:r>
      <w:r>
        <w:rPr>
          <w:rFonts w:hint="eastAsia" w:cs="宋体" w:asciiTheme="minorEastAsia" w:hAnsiTheme="minorEastAsia" w:eastAsiaTheme="minorEastAsia"/>
          <w:sz w:val="24"/>
          <w:szCs w:val="24"/>
          <w:lang w:val="zh-CN"/>
        </w:rPr>
        <w:t>《</w:t>
      </w:r>
      <w:r>
        <w:rPr>
          <w:rFonts w:cs="Times New Roman" w:asciiTheme="minorEastAsia" w:hAnsiTheme="minorEastAsia" w:eastAsiaTheme="minorEastAsia"/>
          <w:sz w:val="24"/>
          <w:szCs w:val="24"/>
          <w:lang w:val="zh-CN"/>
        </w:rPr>
        <w:t>标准化工作导则 第1部分：标准的结构和编写》，对征求意见稿进行了修改，20</w:t>
      </w:r>
      <w:r>
        <w:rPr>
          <w:rFonts w:hint="eastAsia" w:cs="Times New Roman" w:asciiTheme="minorEastAsia" w:hAnsiTheme="minorEastAsia" w:eastAsiaTheme="minorEastAsia"/>
          <w:sz w:val="24"/>
          <w:szCs w:val="24"/>
        </w:rPr>
        <w:t>2</w:t>
      </w:r>
      <w:r>
        <w:rPr>
          <w:rFonts w:hint="eastAsia" w:cs="Times New Roman" w:asciiTheme="minorEastAsia" w:hAnsiTheme="minorEastAsia" w:eastAsiaTheme="minorEastAsia"/>
          <w:sz w:val="24"/>
          <w:szCs w:val="24"/>
          <w:lang w:val="en-US" w:eastAsia="zh-CN"/>
        </w:rPr>
        <w:t>3</w:t>
      </w:r>
      <w:r>
        <w:rPr>
          <w:rFonts w:cs="Times New Roman" w:asciiTheme="minorEastAsia" w:hAnsiTheme="minorEastAsia" w:eastAsiaTheme="minorEastAsia"/>
          <w:sz w:val="24"/>
          <w:szCs w:val="24"/>
          <w:lang w:val="zh-CN"/>
        </w:rPr>
        <w:t>年</w:t>
      </w:r>
      <w:r>
        <w:rPr>
          <w:rFonts w:hint="eastAsia" w:cs="Times New Roman" w:asciiTheme="minorEastAsia" w:hAnsiTheme="minorEastAsia" w:eastAsiaTheme="minorEastAsia"/>
          <w:sz w:val="24"/>
          <w:szCs w:val="24"/>
        </w:rPr>
        <w:t>1</w:t>
      </w:r>
      <w:r>
        <w:rPr>
          <w:rFonts w:hint="eastAsia" w:cs="Times New Roman" w:asciiTheme="minorEastAsia" w:hAnsiTheme="minorEastAsia" w:eastAsiaTheme="minorEastAsia"/>
          <w:sz w:val="24"/>
          <w:szCs w:val="24"/>
          <w:lang w:val="en-US" w:eastAsia="zh-CN"/>
        </w:rPr>
        <w:t>0</w:t>
      </w:r>
      <w:r>
        <w:rPr>
          <w:rFonts w:cs="Times New Roman" w:asciiTheme="minorEastAsia" w:hAnsiTheme="minorEastAsia" w:eastAsiaTheme="minorEastAsia"/>
          <w:sz w:val="24"/>
          <w:szCs w:val="24"/>
          <w:lang w:val="zh-CN"/>
        </w:rPr>
        <w:t>月完成本标</w:t>
      </w:r>
      <w:bookmarkStart w:id="0" w:name="_GoBack"/>
      <w:bookmarkEnd w:id="0"/>
      <w:r>
        <w:rPr>
          <w:rFonts w:cs="Times New Roman" w:asciiTheme="minorEastAsia" w:hAnsiTheme="minorEastAsia" w:eastAsiaTheme="minorEastAsia"/>
          <w:sz w:val="24"/>
          <w:szCs w:val="24"/>
          <w:lang w:val="zh-CN"/>
        </w:rPr>
        <w:t>准送审稿和本标准编制说明。</w:t>
      </w:r>
    </w:p>
    <w:p w14:paraId="62B126A3">
      <w:pPr>
        <w:pStyle w:val="9"/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360" w:lineRule="auto"/>
        <w:ind w:left="0" w:leftChars="0" w:firstLine="0" w:firstLineChars="0"/>
        <w:jc w:val="right"/>
        <w:textAlignment w:val="auto"/>
        <w:rPr>
          <w:rFonts w:hint="eastAsia" w:cs="Times New Roman" w:asciiTheme="minorEastAsia" w:hAnsiTheme="minorEastAsia" w:eastAsiaTheme="minorEastAsia"/>
          <w:sz w:val="24"/>
          <w:szCs w:val="24"/>
          <w:lang w:val="zh-CN" w:eastAsia="zh-CN" w:bidi="ar-SA"/>
        </w:rPr>
      </w:pPr>
      <w:r>
        <w:rPr>
          <w:rFonts w:hint="eastAsia" w:cs="Times New Roman" w:asciiTheme="minorEastAsia" w:hAnsiTheme="minorEastAsia" w:eastAsiaTheme="minorEastAsia"/>
          <w:sz w:val="24"/>
          <w:szCs w:val="24"/>
          <w:lang w:val="zh-CN" w:eastAsia="zh-CN" w:bidi="ar-SA"/>
        </w:rPr>
        <w:t>汕头市</w:t>
      </w:r>
      <w:r>
        <w:rPr>
          <w:rFonts w:hint="eastAsia" w:cs="Times New Roman" w:asciiTheme="minorEastAsia" w:hAnsiTheme="minorEastAsia" w:eastAsiaTheme="minorEastAsia"/>
          <w:sz w:val="24"/>
          <w:szCs w:val="24"/>
          <w:lang w:val="en-US" w:eastAsia="zh-CN" w:bidi="ar-SA"/>
        </w:rPr>
        <w:t>果树与</w:t>
      </w:r>
      <w:r>
        <w:rPr>
          <w:rFonts w:hint="eastAsia" w:cs="Times New Roman" w:asciiTheme="minorEastAsia" w:hAnsiTheme="minorEastAsia" w:eastAsiaTheme="minorEastAsia"/>
          <w:sz w:val="24"/>
          <w:szCs w:val="24"/>
          <w:lang w:val="zh-CN" w:eastAsia="zh-CN" w:bidi="ar-SA"/>
        </w:rPr>
        <w:t xml:space="preserve">水产技术推广站    </w:t>
      </w:r>
    </w:p>
    <w:p w14:paraId="1EF4F839">
      <w:pPr>
        <w:pStyle w:val="9"/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360" w:lineRule="auto"/>
        <w:ind w:leftChars="0" w:firstLine="4560" w:firstLineChars="1900"/>
        <w:jc w:val="right"/>
        <w:textAlignment w:val="auto"/>
        <w:rPr>
          <w:rFonts w:hint="default" w:cs="Times New Roman" w:asciiTheme="minorEastAsia" w:hAnsiTheme="minorEastAsia" w:eastAsiaTheme="minorEastAsia"/>
          <w:sz w:val="24"/>
          <w:szCs w:val="24"/>
          <w:lang w:val="en-US" w:eastAsia="zh-CN" w:bidi="ar-SA"/>
        </w:rPr>
      </w:pPr>
      <w:r>
        <w:rPr>
          <w:rFonts w:hint="eastAsia" w:cs="Times New Roman" w:asciiTheme="minorEastAsia" w:hAnsiTheme="minorEastAsia" w:eastAsiaTheme="minorEastAsia"/>
          <w:sz w:val="24"/>
          <w:szCs w:val="24"/>
          <w:lang w:val="zh-CN" w:eastAsia="zh-CN" w:bidi="ar-SA"/>
        </w:rPr>
        <w:t>20</w:t>
      </w:r>
      <w:r>
        <w:rPr>
          <w:rFonts w:hint="eastAsia" w:cs="Times New Roman" w:asciiTheme="minorEastAsia" w:hAnsiTheme="minorEastAsia" w:eastAsiaTheme="minorEastAsia"/>
          <w:sz w:val="24"/>
          <w:szCs w:val="24"/>
          <w:lang w:val="en-US" w:eastAsia="zh-CN" w:bidi="ar-SA"/>
        </w:rPr>
        <w:t>23</w:t>
      </w:r>
      <w:r>
        <w:rPr>
          <w:rFonts w:hint="eastAsia" w:cs="Times New Roman" w:asciiTheme="minorEastAsia" w:hAnsiTheme="minorEastAsia" w:eastAsiaTheme="minorEastAsia"/>
          <w:sz w:val="24"/>
          <w:szCs w:val="24"/>
          <w:lang w:val="zh-CN" w:eastAsia="zh-CN" w:bidi="ar-SA"/>
        </w:rPr>
        <w:t>年</w:t>
      </w:r>
      <w:r>
        <w:rPr>
          <w:rFonts w:hint="eastAsia" w:cs="Times New Roman" w:asciiTheme="minorEastAsia" w:hAnsiTheme="minorEastAsia" w:eastAsiaTheme="minorEastAsia"/>
          <w:sz w:val="24"/>
          <w:szCs w:val="24"/>
          <w:lang w:val="en-US" w:eastAsia="zh-CN" w:bidi="ar-SA"/>
        </w:rPr>
        <w:t>12</w:t>
      </w:r>
      <w:r>
        <w:rPr>
          <w:rFonts w:hint="eastAsia" w:cs="Times New Roman" w:asciiTheme="minorEastAsia" w:hAnsiTheme="minorEastAsia" w:eastAsiaTheme="minorEastAsia"/>
          <w:sz w:val="24"/>
          <w:szCs w:val="24"/>
          <w:lang w:val="zh-CN" w:eastAsia="zh-CN" w:bidi="ar-SA"/>
        </w:rPr>
        <w:t>月2</w:t>
      </w:r>
      <w:r>
        <w:rPr>
          <w:rFonts w:hint="eastAsia" w:cs="Times New Roman" w:asciiTheme="minorEastAsia" w:hAnsiTheme="minorEastAsia" w:eastAsiaTheme="minorEastAsia"/>
          <w:sz w:val="24"/>
          <w:szCs w:val="24"/>
          <w:lang w:val="en-US" w:eastAsia="zh-CN" w:bidi="ar-SA"/>
        </w:rPr>
        <w:t>0日</w:t>
      </w:r>
    </w:p>
    <w:sectPr>
      <w:pgSz w:w="11906" w:h="16838"/>
      <w:pgMar w:top="1440" w:right="1588" w:bottom="1440" w:left="1797" w:header="709" w:footer="709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  <w:compatSetting w:name="compatibilityMode" w:uri="http://schemas.microsoft.com/office/word" w:val="12"/>
  </w:compat>
  <w:docVars>
    <w:docVar w:name="commondata" w:val="eyJoZGlkIjoiZTRmZmM3ZWEyM2VmM2QzMDVlZmY1YWM1MGYxOGUxNmQifQ=="/>
  </w:docVars>
  <w:rsids>
    <w:rsidRoot w:val="00D31D50"/>
    <w:rsid w:val="00323B43"/>
    <w:rsid w:val="003D37D8"/>
    <w:rsid w:val="00426133"/>
    <w:rsid w:val="004358AB"/>
    <w:rsid w:val="005E49E6"/>
    <w:rsid w:val="00727634"/>
    <w:rsid w:val="007562D2"/>
    <w:rsid w:val="0087128B"/>
    <w:rsid w:val="008B7726"/>
    <w:rsid w:val="00C31E96"/>
    <w:rsid w:val="00CA2FF3"/>
    <w:rsid w:val="00D31D50"/>
    <w:rsid w:val="50877784"/>
    <w:rsid w:val="742E6D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="微软雅黑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1" w:unhideWhenUsed="0" w:uiPriority="0" w:semiHidden="0" w:name="Normal Indent"/>
    <w:lsdException w:uiPriority="99" w:name="footnote text"/>
    <w:lsdException w:uiPriority="99" w:name="annotation text"/>
    <w:lsdException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adjustRightInd w:val="0"/>
      <w:snapToGrid w:val="0"/>
      <w:spacing w:after="200" w:line="240" w:lineRule="auto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ind w:firstLine="420" w:firstLineChars="200"/>
    </w:pPr>
    <w:rPr>
      <w:rFonts w:ascii="Calibri" w:hAnsi="Calibri" w:eastAsia="宋体" w:cs="Times New Roman"/>
    </w:rPr>
  </w:style>
  <w:style w:type="paragraph" w:styleId="3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4">
    <w:name w:val="header"/>
    <w:basedOn w:val="1"/>
    <w:link w:val="7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semiHidden/>
    <w:uiPriority w:val="99"/>
    <w:rPr>
      <w:rFonts w:ascii="Tahoma" w:hAnsi="Tahoma"/>
      <w:sz w:val="18"/>
      <w:szCs w:val="18"/>
    </w:rPr>
  </w:style>
  <w:style w:type="character" w:customStyle="1" w:styleId="8">
    <w:name w:val="页脚 Char"/>
    <w:basedOn w:val="6"/>
    <w:link w:val="3"/>
    <w:semiHidden/>
    <w:uiPriority w:val="99"/>
    <w:rPr>
      <w:rFonts w:ascii="Tahoma" w:hAnsi="Tahoma"/>
      <w:sz w:val="18"/>
      <w:szCs w:val="18"/>
    </w:rPr>
  </w:style>
  <w:style w:type="paragraph" w:customStyle="1" w:styleId="9">
    <w:name w:val="段"/>
    <w:uiPriority w:val="0"/>
    <w:pPr>
      <w:autoSpaceDE w:val="0"/>
      <w:autoSpaceDN w:val="0"/>
      <w:ind w:firstLine="200" w:firstLineChars="200"/>
      <w:jc w:val="both"/>
    </w:pPr>
    <w:rPr>
      <w:rFonts w:ascii="宋体" w:hAnsi="Times New Roman" w:eastAsia="宋体" w:cs="Times New Roman"/>
      <w:sz w:val="21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0A95B8E9-5093-4BB4-99A1-5EC0EFE84B2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722</Words>
  <Characters>771</Characters>
  <Lines>5</Lines>
  <Paragraphs>1</Paragraphs>
  <TotalTime>4</TotalTime>
  <ScaleCrop>false</ScaleCrop>
  <LinksUpToDate>false</LinksUpToDate>
  <CharactersWithSpaces>781</CharactersWithSpaces>
  <Application>WPS Office_12.1.0.18240_F1E327BC-269C-435d-A152-05C5408002CA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2008-09-11T17:20:00Z</dcterms:created>
  <dc:creator>Dell</dc:creator>
  <cp:lastModifiedBy>?</cp:lastModifiedBy>
  <cp:lastPrinted>2024-09-11T02:29:45Z</cp:lastPrinted>
  <dcterms:modified xsi:type="dcterms:W3CDTF">2024-09-11T02:55:10Z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2052-12.1.0.18240</vt:lpwstr>
  </property>
  <property fmtid="{D5CDD505-2E9C-101B-9397-08002B2CF9AE}" pid="3" name="ICV">
    <vt:lpwstr>3CCC14324A194238B1A858BFED8DB41A_12</vt:lpwstr>
  </property>
</Properties>
</file>