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3B70D">
      <w:pPr>
        <w:jc w:val="center"/>
        <w:rPr>
          <w:rFonts w:ascii="黑体" w:hAnsi="黑体" w:eastAsia="黑体"/>
          <w:b/>
          <w:bCs/>
          <w:sz w:val="32"/>
          <w:szCs w:val="32"/>
        </w:rPr>
      </w:pPr>
      <w:r>
        <w:rPr>
          <w:rFonts w:hint="eastAsia" w:ascii="黑体" w:hAnsi="黑体" w:eastAsia="黑体"/>
          <w:b/>
          <w:bCs/>
          <w:sz w:val="32"/>
          <w:szCs w:val="32"/>
        </w:rPr>
        <w:t>《汕头市龙湖区夏桂埔</w:t>
      </w:r>
      <w:r>
        <w:rPr>
          <w:rFonts w:ascii="黑体" w:hAnsi="黑体" w:eastAsia="黑体"/>
          <w:b/>
          <w:bCs/>
          <w:sz w:val="32"/>
          <w:szCs w:val="32"/>
        </w:rPr>
        <w:t>-周厝塭片区控制性详细规划局部修编及黄泰立交东北侧片区控制性详细规划(LH-02108控制单元中部片区、LH-01703控制单元、LH-023编制单元北片)》</w:t>
      </w:r>
      <w:r>
        <w:rPr>
          <w:rFonts w:hint="eastAsia" w:ascii="黑体" w:hAnsi="黑体" w:eastAsia="黑体"/>
          <w:b/>
          <w:bCs/>
          <w:sz w:val="32"/>
          <w:szCs w:val="32"/>
        </w:rPr>
        <w:t>简介</w:t>
      </w:r>
    </w:p>
    <w:p w14:paraId="485FA6B6">
      <w:pPr>
        <w:pStyle w:val="12"/>
        <w:keepNext w:val="0"/>
        <w:keepLines w:val="0"/>
        <w:pageBreakBefore w:val="0"/>
        <w:tabs>
          <w:tab w:val="left" w:pos="996"/>
          <w:tab w:val="left" w:pos="1494"/>
          <w:tab w:val="clear" w:pos="1134"/>
        </w:tabs>
        <w:kinsoku/>
        <w:wordWrap/>
        <w:overflowPunct/>
        <w:topLinePunct w:val="0"/>
        <w:autoSpaceDE/>
        <w:autoSpaceDN/>
        <w:bidi w:val="0"/>
        <w:adjustRightInd/>
        <w:snapToGrid/>
        <w:spacing w:beforeLines="0" w:afterLines="0" w:line="440" w:lineRule="exact"/>
        <w:textAlignment w:val="auto"/>
        <w:rPr>
          <w:rFonts w:eastAsia="宋体"/>
          <w:b/>
          <w:bCs/>
        </w:rPr>
      </w:pPr>
      <w:r>
        <w:rPr>
          <w:rFonts w:hint="eastAsia" w:eastAsia="宋体"/>
          <w:b/>
          <w:bCs/>
        </w:rPr>
        <w:t>规划范围</w:t>
      </w:r>
    </w:p>
    <w:p w14:paraId="40819820">
      <w:pPr>
        <w:pStyle w:val="14"/>
        <w:keepNext w:val="0"/>
        <w:keepLines w:val="0"/>
        <w:pageBreakBefore w:val="0"/>
        <w:kinsoku/>
        <w:wordWrap/>
        <w:overflowPunct/>
        <w:topLinePunct w:val="0"/>
        <w:autoSpaceDE/>
        <w:autoSpaceDN/>
        <w:bidi w:val="0"/>
        <w:adjustRightInd/>
        <w:snapToGrid/>
        <w:spacing w:before="0" w:beforeLines="0" w:after="0" w:afterLines="0" w:line="440" w:lineRule="exact"/>
        <w:ind w:firstLine="493"/>
        <w:textAlignment w:val="auto"/>
        <w:rPr>
          <w:rFonts w:hint="eastAsia" w:ascii="等线" w:hAnsi="等线" w:eastAsia="等线" w:cs="等线"/>
          <w:snapToGrid w:val="0"/>
          <w:kern w:val="0"/>
          <w:sz w:val="21"/>
          <w:szCs w:val="22"/>
          <w:lang w:val="en-US" w:eastAsia="zh-CN" w:bidi="ar-SA"/>
        </w:rPr>
      </w:pPr>
      <w:r>
        <w:rPr>
          <w:rFonts w:hint="eastAsia" w:ascii="等线" w:hAnsi="等线" w:eastAsia="等线" w:cs="等线"/>
          <w:snapToGrid w:val="0"/>
          <w:kern w:val="0"/>
          <w:sz w:val="21"/>
          <w:szCs w:val="22"/>
          <w:lang w:val="en-US" w:eastAsia="zh-CN" w:bidi="ar-SA"/>
        </w:rPr>
        <w:t>本规划范围分为东西两片，东片范围为泰山路东侧片区，东起沈海高速公路、西至泰山路、南起凤东路、北至规划支路；西片范围为淮河路南侧片区，东起规划支路、西至桂安路、南起规划支路、北至淮河路。规划区总用地面积169.58公顷。</w:t>
      </w:r>
    </w:p>
    <w:p w14:paraId="5975F296">
      <w:pPr>
        <w:pStyle w:val="12"/>
        <w:keepNext w:val="0"/>
        <w:keepLines w:val="0"/>
        <w:pageBreakBefore w:val="0"/>
        <w:tabs>
          <w:tab w:val="left" w:pos="996"/>
          <w:tab w:val="left" w:pos="1494"/>
          <w:tab w:val="clear" w:pos="1134"/>
        </w:tabs>
        <w:kinsoku/>
        <w:wordWrap/>
        <w:overflowPunct/>
        <w:topLinePunct w:val="0"/>
        <w:autoSpaceDE/>
        <w:autoSpaceDN/>
        <w:bidi w:val="0"/>
        <w:adjustRightInd/>
        <w:snapToGrid/>
        <w:spacing w:beforeLines="0" w:afterLines="0" w:line="440" w:lineRule="exact"/>
        <w:textAlignment w:val="auto"/>
        <w:rPr>
          <w:rFonts w:eastAsia="宋体"/>
          <w:b/>
          <w:bCs/>
        </w:rPr>
      </w:pPr>
      <w:bookmarkStart w:id="0" w:name="_Toc3466726"/>
      <w:bookmarkStart w:id="1" w:name="_Toc2262126"/>
      <w:bookmarkStart w:id="2" w:name="_Toc3467185"/>
      <w:bookmarkStart w:id="3" w:name="_Toc9603603"/>
      <w:bookmarkStart w:id="4" w:name="_Hlk7341402"/>
      <w:r>
        <w:rPr>
          <w:rFonts w:hint="eastAsia" w:eastAsia="宋体"/>
          <w:b/>
          <w:bCs/>
        </w:rPr>
        <w:t>规划定位</w:t>
      </w:r>
      <w:bookmarkEnd w:id="0"/>
      <w:bookmarkEnd w:id="1"/>
      <w:bookmarkEnd w:id="2"/>
      <w:bookmarkEnd w:id="3"/>
    </w:p>
    <w:p w14:paraId="04D6A25A">
      <w:pPr>
        <w:pStyle w:val="14"/>
        <w:keepNext w:val="0"/>
        <w:keepLines w:val="0"/>
        <w:pageBreakBefore w:val="0"/>
        <w:kinsoku/>
        <w:wordWrap/>
        <w:overflowPunct/>
        <w:topLinePunct w:val="0"/>
        <w:autoSpaceDE/>
        <w:autoSpaceDN/>
        <w:bidi w:val="0"/>
        <w:adjustRightInd/>
        <w:snapToGrid/>
        <w:spacing w:before="0" w:beforeLines="0" w:after="0" w:afterLines="0" w:line="440" w:lineRule="exact"/>
        <w:ind w:firstLine="493"/>
        <w:textAlignment w:val="auto"/>
        <w:rPr>
          <w:rFonts w:hint="eastAsia" w:ascii="等线" w:hAnsi="等线" w:eastAsia="等线" w:cs="等线"/>
          <w:snapToGrid w:val="0"/>
          <w:kern w:val="0"/>
          <w:sz w:val="21"/>
          <w:szCs w:val="22"/>
          <w:lang w:val="en-US" w:eastAsia="zh-CN" w:bidi="ar-SA"/>
        </w:rPr>
      </w:pPr>
      <w:r>
        <w:rPr>
          <w:rFonts w:hint="eastAsia" w:ascii="等线" w:hAnsi="等线" w:eastAsia="等线" w:cs="等线"/>
          <w:snapToGrid w:val="0"/>
          <w:kern w:val="0"/>
          <w:sz w:val="21"/>
          <w:szCs w:val="22"/>
          <w:lang w:val="en-US" w:eastAsia="zh-CN" w:bidi="ar-SA"/>
        </w:rPr>
        <w:t>泰山路东侧片区定位为以居住功能为主，兼有一定商业功能的宜居片区。</w:t>
      </w:r>
    </w:p>
    <w:p w14:paraId="2087DD8F">
      <w:pPr>
        <w:pStyle w:val="14"/>
        <w:keepNext w:val="0"/>
        <w:keepLines w:val="0"/>
        <w:pageBreakBefore w:val="0"/>
        <w:kinsoku/>
        <w:wordWrap/>
        <w:overflowPunct/>
        <w:topLinePunct w:val="0"/>
        <w:autoSpaceDE/>
        <w:autoSpaceDN/>
        <w:bidi w:val="0"/>
        <w:adjustRightInd/>
        <w:snapToGrid/>
        <w:spacing w:before="0" w:beforeLines="0" w:after="0" w:afterLines="0" w:line="440" w:lineRule="exact"/>
        <w:ind w:firstLine="493"/>
        <w:textAlignment w:val="auto"/>
        <w:rPr>
          <w:rFonts w:hint="eastAsia" w:ascii="等线" w:hAnsi="等线" w:eastAsia="等线" w:cs="等线"/>
          <w:snapToGrid w:val="0"/>
          <w:kern w:val="0"/>
          <w:sz w:val="21"/>
          <w:szCs w:val="22"/>
          <w:lang w:val="en-US" w:eastAsia="zh-CN" w:bidi="ar-SA"/>
        </w:rPr>
      </w:pPr>
      <w:r>
        <w:rPr>
          <w:rFonts w:hint="eastAsia" w:ascii="等线" w:hAnsi="等线" w:eastAsia="等线" w:cs="等线"/>
          <w:snapToGrid w:val="0"/>
          <w:kern w:val="0"/>
          <w:sz w:val="21"/>
          <w:szCs w:val="22"/>
          <w:lang w:val="en-US" w:eastAsia="zh-CN" w:bidi="ar-SA"/>
        </w:rPr>
        <w:t>淮河路南侧片区定位为工业、居住、公建配套的</w:t>
      </w:r>
      <w:bookmarkStart w:id="5" w:name="_GoBack"/>
      <w:bookmarkEnd w:id="5"/>
      <w:r>
        <w:rPr>
          <w:rFonts w:hint="eastAsia" w:ascii="等线" w:hAnsi="等线" w:eastAsia="等线" w:cs="等线"/>
          <w:snapToGrid w:val="0"/>
          <w:kern w:val="0"/>
          <w:sz w:val="21"/>
          <w:szCs w:val="22"/>
          <w:lang w:val="en-US" w:eastAsia="zh-CN" w:bidi="ar-SA"/>
        </w:rPr>
        <w:t>宜业、宜居片区。</w:t>
      </w:r>
    </w:p>
    <w:p w14:paraId="341B03B0">
      <w:pPr>
        <w:pStyle w:val="12"/>
        <w:keepNext w:val="0"/>
        <w:keepLines w:val="0"/>
        <w:pageBreakBefore w:val="0"/>
        <w:tabs>
          <w:tab w:val="left" w:pos="996"/>
          <w:tab w:val="left" w:pos="1494"/>
          <w:tab w:val="clear" w:pos="1134"/>
        </w:tabs>
        <w:kinsoku/>
        <w:wordWrap/>
        <w:overflowPunct/>
        <w:topLinePunct w:val="0"/>
        <w:autoSpaceDE/>
        <w:autoSpaceDN/>
        <w:bidi w:val="0"/>
        <w:adjustRightInd/>
        <w:snapToGrid/>
        <w:spacing w:beforeLines="0" w:afterLines="0" w:line="440" w:lineRule="exact"/>
        <w:textAlignment w:val="auto"/>
        <w:rPr>
          <w:rFonts w:eastAsia="宋体"/>
          <w:b/>
          <w:bCs/>
        </w:rPr>
      </w:pPr>
      <w:r>
        <w:rPr>
          <w:rFonts w:hint="eastAsia" w:eastAsia="宋体"/>
          <w:b/>
          <w:bCs/>
        </w:rPr>
        <w:t>发展规模</w:t>
      </w:r>
    </w:p>
    <w:bookmarkEnd w:id="4"/>
    <w:p w14:paraId="00BB3CC6">
      <w:pPr>
        <w:pStyle w:val="14"/>
        <w:keepNext w:val="0"/>
        <w:keepLines w:val="0"/>
        <w:pageBreakBefore w:val="0"/>
        <w:kinsoku/>
        <w:wordWrap/>
        <w:overflowPunct/>
        <w:topLinePunct w:val="0"/>
        <w:autoSpaceDE/>
        <w:autoSpaceDN/>
        <w:bidi w:val="0"/>
        <w:adjustRightInd/>
        <w:snapToGrid/>
        <w:spacing w:before="0" w:beforeLines="0" w:after="0" w:afterLines="0" w:line="440" w:lineRule="exact"/>
        <w:ind w:firstLine="493"/>
        <w:textAlignment w:val="auto"/>
        <w:rPr>
          <w:rFonts w:hint="eastAsia" w:ascii="等线" w:hAnsi="等线" w:eastAsia="等线" w:cs="等线"/>
          <w:snapToGrid w:val="0"/>
          <w:kern w:val="0"/>
          <w:sz w:val="21"/>
          <w:szCs w:val="22"/>
          <w:lang w:val="en-US" w:eastAsia="zh-CN" w:bidi="ar-SA"/>
        </w:rPr>
      </w:pPr>
      <w:r>
        <w:rPr>
          <w:rFonts w:hint="eastAsia" w:ascii="等线" w:hAnsi="等线" w:eastAsia="等线" w:cs="等线"/>
          <w:snapToGrid w:val="0"/>
          <w:kern w:val="0"/>
          <w:sz w:val="21"/>
          <w:szCs w:val="22"/>
          <w:lang w:val="en-US" w:eastAsia="zh-CN" w:bidi="ar-SA"/>
        </w:rPr>
        <w:t>规划区总用地面积169.58公顷，其中城市建设用地143.13公顷。规划居住用地70.72公顷。</w:t>
      </w:r>
    </w:p>
    <w:p w14:paraId="02B8EABA">
      <w:pPr>
        <w:spacing w:line="360" w:lineRule="auto"/>
        <w:ind w:firstLine="420" w:firstLineChars="200"/>
        <w:rPr>
          <w:rFonts w:hint="eastAsia" w:ascii="等线" w:hAnsi="等线" w:eastAsia="等线" w:cs="等线"/>
          <w:snapToGrid w:val="0"/>
          <w:kern w:val="0"/>
          <w:sz w:val="21"/>
          <w:szCs w:val="22"/>
          <w:lang w:val="en-US" w:eastAsia="zh-CN" w:bidi="ar-SA"/>
        </w:rPr>
      </w:pPr>
      <w:r>
        <w:rPr>
          <w:rFonts w:hint="eastAsia" w:ascii="等线" w:hAnsi="等线" w:eastAsia="等线" w:cs="等线"/>
          <w:snapToGrid w:val="0"/>
          <w:kern w:val="0"/>
          <w:sz w:val="21"/>
          <w:szCs w:val="22"/>
          <w:lang w:val="en-US" w:eastAsia="zh-CN" w:bidi="ar-SA"/>
        </w:rPr>
        <w:t>根据有关法规、规章、技术规范及市政府相关文件，经测算居住人口约3.65万人。</w:t>
      </w:r>
    </w:p>
    <w:p w14:paraId="7BC971C8">
      <w:pPr>
        <w:pStyle w:val="14"/>
        <w:keepNext w:val="0"/>
        <w:keepLines w:val="0"/>
        <w:pageBreakBefore w:val="0"/>
        <w:kinsoku/>
        <w:wordWrap/>
        <w:overflowPunct/>
        <w:topLinePunct w:val="0"/>
        <w:autoSpaceDE/>
        <w:autoSpaceDN/>
        <w:bidi w:val="0"/>
        <w:adjustRightInd/>
        <w:snapToGrid/>
        <w:spacing w:before="0" w:beforeLines="0" w:after="0" w:afterLines="0" w:line="440" w:lineRule="exact"/>
        <w:ind w:firstLine="493"/>
        <w:textAlignment w:val="auto"/>
        <w:rPr>
          <w:rFonts w:hint="eastAsia" w:ascii="等线" w:hAnsi="等线" w:eastAsia="等线" w:cs="等线"/>
          <w:snapToGrid w:val="0"/>
          <w:kern w:val="0"/>
          <w:sz w:val="21"/>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E2C8B"/>
    <w:multiLevelType w:val="multilevel"/>
    <w:tmpl w:val="717E2C8B"/>
    <w:lvl w:ilvl="0" w:tentative="0">
      <w:start w:val="1"/>
      <w:numFmt w:val="chineseCountingThousand"/>
      <w:pStyle w:val="12"/>
      <w:lvlText w:val="第%1条"/>
      <w:lvlJc w:val="left"/>
      <w:pPr>
        <w:tabs>
          <w:tab w:val="left" w:pos="1134"/>
        </w:tabs>
        <w:ind w:left="0" w:firstLine="0"/>
      </w:pPr>
      <w:rPr>
        <w:rFonts w:hint="default" w:ascii="黑体" w:eastAsia="黑体"/>
        <w:b/>
      </w:rPr>
    </w:lvl>
    <w:lvl w:ilvl="1" w:tentative="0">
      <w:start w:val="1"/>
      <w:numFmt w:val="decimal"/>
      <w:lvlText w:val="%2．"/>
      <w:lvlJc w:val="left"/>
      <w:pPr>
        <w:tabs>
          <w:tab w:val="left" w:pos="780"/>
        </w:tabs>
        <w:ind w:left="780" w:hanging="360"/>
      </w:pPr>
      <w:rPr>
        <w:rFonts w:hint="default"/>
        <w:b/>
      </w:rPr>
    </w:lvl>
    <w:lvl w:ilvl="2" w:tentative="0">
      <w:start w:val="1"/>
      <w:numFmt w:val="decimal"/>
      <w:lvlText w:val="%3."/>
      <w:lvlJc w:val="left"/>
      <w:pPr>
        <w:tabs>
          <w:tab w:val="left" w:pos="1260"/>
        </w:tabs>
        <w:ind w:left="1260" w:hanging="420"/>
      </w:pPr>
      <w:rPr>
        <w:rFonts w:hint="default"/>
      </w:rPr>
    </w:lvl>
    <w:lvl w:ilvl="3" w:tentative="0">
      <w:start w:val="1"/>
      <w:numFmt w:val="decimal"/>
      <w:lvlText w:val="%4、"/>
      <w:lvlJc w:val="left"/>
      <w:pPr>
        <w:tabs>
          <w:tab w:val="left" w:pos="2055"/>
        </w:tabs>
        <w:ind w:left="2055" w:hanging="79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4OWYwNGU3YzhjMDcyNDViODRjNjIxMzUzYjAyNmUifQ=="/>
  </w:docVars>
  <w:rsids>
    <w:rsidRoot w:val="00D25B56"/>
    <w:rsid w:val="00012EA6"/>
    <w:rsid w:val="00030A83"/>
    <w:rsid w:val="00052E79"/>
    <w:rsid w:val="00080C6C"/>
    <w:rsid w:val="00083FFC"/>
    <w:rsid w:val="000B362A"/>
    <w:rsid w:val="000D3461"/>
    <w:rsid w:val="00102D46"/>
    <w:rsid w:val="00133E70"/>
    <w:rsid w:val="00161403"/>
    <w:rsid w:val="00167DAE"/>
    <w:rsid w:val="001817A3"/>
    <w:rsid w:val="001920AF"/>
    <w:rsid w:val="001E01D3"/>
    <w:rsid w:val="001F3BCF"/>
    <w:rsid w:val="00244CBE"/>
    <w:rsid w:val="00263D6B"/>
    <w:rsid w:val="0029135A"/>
    <w:rsid w:val="002970C9"/>
    <w:rsid w:val="002A02C0"/>
    <w:rsid w:val="002A02D8"/>
    <w:rsid w:val="002A1032"/>
    <w:rsid w:val="002E7498"/>
    <w:rsid w:val="003216A2"/>
    <w:rsid w:val="00330CD2"/>
    <w:rsid w:val="00384611"/>
    <w:rsid w:val="003938E6"/>
    <w:rsid w:val="003B64E6"/>
    <w:rsid w:val="003B7051"/>
    <w:rsid w:val="003D208B"/>
    <w:rsid w:val="003D44A7"/>
    <w:rsid w:val="00467395"/>
    <w:rsid w:val="004966E0"/>
    <w:rsid w:val="004A35D8"/>
    <w:rsid w:val="004A3BDA"/>
    <w:rsid w:val="004A52D6"/>
    <w:rsid w:val="004C20D2"/>
    <w:rsid w:val="004C7B34"/>
    <w:rsid w:val="004F227F"/>
    <w:rsid w:val="005057A0"/>
    <w:rsid w:val="00542FCE"/>
    <w:rsid w:val="00566B29"/>
    <w:rsid w:val="00582082"/>
    <w:rsid w:val="00586E24"/>
    <w:rsid w:val="00593FF4"/>
    <w:rsid w:val="005A152A"/>
    <w:rsid w:val="005A76FA"/>
    <w:rsid w:val="005B04B8"/>
    <w:rsid w:val="005B60C3"/>
    <w:rsid w:val="005C4388"/>
    <w:rsid w:val="005F7A87"/>
    <w:rsid w:val="00600183"/>
    <w:rsid w:val="0061613F"/>
    <w:rsid w:val="00617924"/>
    <w:rsid w:val="006260EF"/>
    <w:rsid w:val="00675341"/>
    <w:rsid w:val="006F243A"/>
    <w:rsid w:val="00700B79"/>
    <w:rsid w:val="00761983"/>
    <w:rsid w:val="0076492F"/>
    <w:rsid w:val="00764A50"/>
    <w:rsid w:val="00765B50"/>
    <w:rsid w:val="00765D10"/>
    <w:rsid w:val="007739C1"/>
    <w:rsid w:val="0079136B"/>
    <w:rsid w:val="007D0263"/>
    <w:rsid w:val="007E3A57"/>
    <w:rsid w:val="007F634D"/>
    <w:rsid w:val="008069B6"/>
    <w:rsid w:val="008421E8"/>
    <w:rsid w:val="00843BC8"/>
    <w:rsid w:val="00845854"/>
    <w:rsid w:val="008A79FC"/>
    <w:rsid w:val="008D7EA1"/>
    <w:rsid w:val="008E2656"/>
    <w:rsid w:val="00950F07"/>
    <w:rsid w:val="009B100A"/>
    <w:rsid w:val="009B1FC9"/>
    <w:rsid w:val="009B5B42"/>
    <w:rsid w:val="009D3B09"/>
    <w:rsid w:val="009F48DA"/>
    <w:rsid w:val="009F6A62"/>
    <w:rsid w:val="00A56CF2"/>
    <w:rsid w:val="00A73FF9"/>
    <w:rsid w:val="00A93271"/>
    <w:rsid w:val="00AA22E6"/>
    <w:rsid w:val="00AB1423"/>
    <w:rsid w:val="00B1273B"/>
    <w:rsid w:val="00B330EA"/>
    <w:rsid w:val="00B554BB"/>
    <w:rsid w:val="00B762DD"/>
    <w:rsid w:val="00B94C59"/>
    <w:rsid w:val="00BA13C7"/>
    <w:rsid w:val="00C0004B"/>
    <w:rsid w:val="00C03DC3"/>
    <w:rsid w:val="00C265AB"/>
    <w:rsid w:val="00C64323"/>
    <w:rsid w:val="00CA3130"/>
    <w:rsid w:val="00CC3AAA"/>
    <w:rsid w:val="00CC65EB"/>
    <w:rsid w:val="00CD28D6"/>
    <w:rsid w:val="00CF16DC"/>
    <w:rsid w:val="00D25B56"/>
    <w:rsid w:val="00D47CC8"/>
    <w:rsid w:val="00D85BAF"/>
    <w:rsid w:val="00D87364"/>
    <w:rsid w:val="00DA3D87"/>
    <w:rsid w:val="00DC20EE"/>
    <w:rsid w:val="00DD7F3A"/>
    <w:rsid w:val="00DE5446"/>
    <w:rsid w:val="00E14BAC"/>
    <w:rsid w:val="00E16D3A"/>
    <w:rsid w:val="00E212DB"/>
    <w:rsid w:val="00E361BC"/>
    <w:rsid w:val="00E60BD4"/>
    <w:rsid w:val="00E72664"/>
    <w:rsid w:val="00E800E0"/>
    <w:rsid w:val="00E803DC"/>
    <w:rsid w:val="00E81BF3"/>
    <w:rsid w:val="00E8510A"/>
    <w:rsid w:val="00E911A4"/>
    <w:rsid w:val="00EB5AD5"/>
    <w:rsid w:val="00EC659D"/>
    <w:rsid w:val="00ED0919"/>
    <w:rsid w:val="00F142AA"/>
    <w:rsid w:val="00F27F9A"/>
    <w:rsid w:val="00F30BF9"/>
    <w:rsid w:val="00F65204"/>
    <w:rsid w:val="00F839DA"/>
    <w:rsid w:val="00F97F2D"/>
    <w:rsid w:val="00FD3FDC"/>
    <w:rsid w:val="00FD44BB"/>
    <w:rsid w:val="00FF521F"/>
    <w:rsid w:val="0EF12B25"/>
    <w:rsid w:val="1DAC2F9F"/>
    <w:rsid w:val="415B4D00"/>
    <w:rsid w:val="5397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6"/>
    <w:basedOn w:val="1"/>
    <w:next w:val="1"/>
    <w:link w:val="1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4">
    <w:name w:val="heading 8"/>
    <w:basedOn w:val="1"/>
    <w:next w:val="1"/>
    <w:link w:val="1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1 字符"/>
    <w:basedOn w:val="8"/>
    <w:link w:val="2"/>
    <w:qFormat/>
    <w:uiPriority w:val="9"/>
    <w:rPr>
      <w:rFonts w:ascii="宋体" w:hAnsi="宋体" w:eastAsia="宋体" w:cs="宋体"/>
      <w:b/>
      <w:bCs/>
      <w:kern w:val="36"/>
      <w:sz w:val="48"/>
      <w:szCs w:val="48"/>
    </w:rPr>
  </w:style>
  <w:style w:type="paragraph" w:customStyle="1" w:styleId="12">
    <w:name w:val="文本条文"/>
    <w:next w:val="1"/>
    <w:link w:val="13"/>
    <w:qFormat/>
    <w:uiPriority w:val="0"/>
    <w:pPr>
      <w:numPr>
        <w:ilvl w:val="0"/>
        <w:numId w:val="1"/>
      </w:numPr>
      <w:spacing w:beforeLines="50" w:afterLines="50"/>
      <w:jc w:val="both"/>
      <w:outlineLvl w:val="2"/>
    </w:pPr>
    <w:rPr>
      <w:rFonts w:ascii="宋体" w:hAnsi="宋体" w:eastAsiaTheme="minorEastAsia" w:cstheme="minorBidi"/>
      <w:kern w:val="2"/>
      <w:sz w:val="24"/>
      <w:szCs w:val="24"/>
      <w:lang w:val="en-US" w:eastAsia="zh-CN" w:bidi="ar-SA"/>
    </w:rPr>
  </w:style>
  <w:style w:type="character" w:customStyle="1" w:styleId="13">
    <w:name w:val="文本条文 字符"/>
    <w:link w:val="12"/>
    <w:qFormat/>
    <w:uiPriority w:val="0"/>
    <w:rPr>
      <w:rFonts w:ascii="宋体" w:hAnsi="宋体"/>
      <w:sz w:val="24"/>
      <w:szCs w:val="24"/>
    </w:rPr>
  </w:style>
  <w:style w:type="paragraph" w:customStyle="1" w:styleId="14">
    <w:name w:val="文本正文"/>
    <w:basedOn w:val="12"/>
    <w:link w:val="15"/>
    <w:qFormat/>
    <w:uiPriority w:val="0"/>
    <w:pPr>
      <w:widowControl w:val="0"/>
      <w:numPr>
        <w:numId w:val="0"/>
      </w:numPr>
      <w:spacing w:before="50" w:after="50"/>
      <w:outlineLvl w:val="9"/>
    </w:pPr>
    <w:rPr>
      <w:rFonts w:eastAsia="宋体" w:cs="Times New Roman"/>
    </w:rPr>
  </w:style>
  <w:style w:type="character" w:customStyle="1" w:styleId="15">
    <w:name w:val="文本正文 字符"/>
    <w:basedOn w:val="13"/>
    <w:link w:val="14"/>
    <w:qFormat/>
    <w:uiPriority w:val="0"/>
    <w:rPr>
      <w:rFonts w:ascii="宋体" w:hAnsi="宋体" w:eastAsia="宋体" w:cs="Times New Roman"/>
      <w:sz w:val="24"/>
      <w:szCs w:val="24"/>
    </w:rPr>
  </w:style>
  <w:style w:type="character" w:customStyle="1" w:styleId="16">
    <w:name w:val="标题 8 字符"/>
    <w:basedOn w:val="8"/>
    <w:link w:val="4"/>
    <w:semiHidden/>
    <w:qFormat/>
    <w:uiPriority w:val="9"/>
    <w:rPr>
      <w:rFonts w:asciiTheme="majorHAnsi" w:hAnsiTheme="majorHAnsi" w:eastAsiaTheme="majorEastAsia" w:cstheme="majorBidi"/>
      <w:kern w:val="2"/>
      <w:sz w:val="24"/>
      <w:szCs w:val="24"/>
    </w:rPr>
  </w:style>
  <w:style w:type="character" w:customStyle="1" w:styleId="17">
    <w:name w:val="标题 6 字符"/>
    <w:basedOn w:val="8"/>
    <w:link w:val="3"/>
    <w:semiHidden/>
    <w:qFormat/>
    <w:uiPriority w:val="9"/>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831</Words>
  <Characters>930</Characters>
  <Lines>6</Lines>
  <Paragraphs>1</Paragraphs>
  <TotalTime>1</TotalTime>
  <ScaleCrop>false</ScaleCrop>
  <LinksUpToDate>false</LinksUpToDate>
  <CharactersWithSpaces>930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2021-12-03T06:39:00Z</dcterms:created>
  <dc:creator>Administrator</dc:creator>
  <cp:lastModifiedBy>ynnb</cp:lastModifiedBy>
  <dcterms:modified xsi:type="dcterms:W3CDTF">2024-09-13T07:47:50Z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CA7E3F10B55F4240AF688DD620069B0C</vt:lpwstr>
  </property>
</Properties>
</file>