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A3568">
      <w:pPr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《汕头市金鸿大道与南岭路东南侧片区控制性详细规划（</w:t>
      </w:r>
      <w:r>
        <w:rPr>
          <w:rFonts w:ascii="黑体" w:hAnsi="黑体" w:eastAsia="黑体"/>
          <w:b/>
          <w:bCs/>
          <w:sz w:val="32"/>
          <w:szCs w:val="32"/>
        </w:rPr>
        <w:t>LH-03001控制单元</w:t>
      </w:r>
      <w:r>
        <w:rPr>
          <w:rFonts w:hint="eastAsia" w:ascii="黑体" w:hAnsi="黑体" w:eastAsia="黑体"/>
          <w:b/>
          <w:bCs/>
          <w:sz w:val="32"/>
          <w:szCs w:val="32"/>
        </w:rPr>
        <w:t>）》简介</w:t>
      </w:r>
    </w:p>
    <w:p w14:paraId="47DAD3BC">
      <w:pPr>
        <w:pStyle w:val="6"/>
        <w:tabs>
          <w:tab w:val="left" w:pos="996"/>
          <w:tab w:val="left" w:pos="1494"/>
        </w:tabs>
        <w:spacing w:before="156" w:after="156"/>
        <w:ind w:firstLine="482"/>
        <w:rPr>
          <w:b/>
          <w:bCs/>
        </w:rPr>
      </w:pPr>
      <w:r>
        <w:rPr>
          <w:rFonts w:hint="eastAsia"/>
          <w:b/>
          <w:bCs/>
        </w:rPr>
        <w:t>规划范围</w:t>
      </w:r>
    </w:p>
    <w:p w14:paraId="51F68F5E">
      <w:pPr>
        <w:pStyle w:val="6"/>
        <w:numPr>
          <w:ilvl w:val="0"/>
          <w:numId w:val="0"/>
        </w:numPr>
        <w:tabs>
          <w:tab w:val="left" w:pos="996"/>
          <w:tab w:val="left" w:pos="1494"/>
        </w:tabs>
        <w:spacing w:before="312" w:beforeLines="100" w:after="312" w:afterLines="100"/>
        <w:ind w:firstLine="420" w:firstLineChars="200"/>
        <w:rPr>
          <w:rFonts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规划范围为东至昆仑山路，西至南岭路，南至洞庭湖路，北至金鸿大道，</w:t>
      </w: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/>
        </w:rPr>
        <w:t>规划区</w:t>
      </w: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总用地面积</w:t>
      </w:r>
      <w:r>
        <w:rPr>
          <w:rFonts w:ascii="等线" w:hAnsi="等线" w:eastAsia="等线" w:cs="等线"/>
          <w:snapToGrid w:val="0"/>
          <w:kern w:val="0"/>
          <w:sz w:val="21"/>
          <w:szCs w:val="22"/>
        </w:rPr>
        <w:t>110.68</w:t>
      </w: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公顷。</w:t>
      </w:r>
    </w:p>
    <w:p w14:paraId="4CD24B4A">
      <w:pPr>
        <w:pStyle w:val="6"/>
        <w:tabs>
          <w:tab w:val="left" w:pos="996"/>
          <w:tab w:val="left" w:pos="1494"/>
        </w:tabs>
        <w:spacing w:before="156" w:after="156"/>
        <w:ind w:firstLine="482"/>
        <w:rPr>
          <w:b/>
          <w:bCs/>
        </w:rPr>
      </w:pPr>
      <w:r>
        <w:rPr>
          <w:rFonts w:hint="eastAsia"/>
          <w:b/>
          <w:bCs/>
        </w:rPr>
        <w:t>规划定位</w:t>
      </w:r>
    </w:p>
    <w:p w14:paraId="752FB4ED">
      <w:pPr>
        <w:pStyle w:val="6"/>
        <w:numPr>
          <w:ilvl w:val="0"/>
          <w:numId w:val="0"/>
        </w:numPr>
        <w:tabs>
          <w:tab w:val="left" w:pos="996"/>
          <w:tab w:val="left" w:pos="1494"/>
        </w:tabs>
        <w:spacing w:before="312" w:beforeLines="100" w:after="312" w:afterLines="100"/>
        <w:ind w:firstLine="420" w:firstLineChars="200"/>
        <w:rPr>
          <w:rFonts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规划功能定位为龙湖区新溪商贸中心的重要组成部分，以商业商务用地和商住用地为主、配套完善的城市新社区。</w:t>
      </w:r>
    </w:p>
    <w:p w14:paraId="674F7C3F">
      <w:pPr>
        <w:pStyle w:val="6"/>
        <w:tabs>
          <w:tab w:val="left" w:pos="996"/>
          <w:tab w:val="left" w:pos="1494"/>
        </w:tabs>
        <w:spacing w:before="156" w:after="156"/>
        <w:ind w:firstLine="482"/>
        <w:rPr>
          <w:b/>
          <w:bCs/>
        </w:rPr>
      </w:pPr>
      <w:r>
        <w:rPr>
          <w:rFonts w:hint="eastAsia"/>
          <w:b/>
          <w:bCs/>
        </w:rPr>
        <w:t>发展规模</w:t>
      </w:r>
    </w:p>
    <w:p w14:paraId="5A48DB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textAlignment w:val="auto"/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/>
        </w:rPr>
        <w:t>规划区总用地面积110.68公顷，其中城镇建设用地109.27公顷。规划居住用地20.20公顷。</w:t>
      </w:r>
      <w:bookmarkStart w:id="0" w:name="_GoBack"/>
      <w:bookmarkEnd w:id="0"/>
    </w:p>
    <w:p w14:paraId="034F455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根据有关法规、规章、技术规范及市政府相关文件，经测算居住人口约2.42万人。</w:t>
      </w:r>
    </w:p>
    <w:p w14:paraId="74547C97">
      <w:pPr>
        <w:pStyle w:val="7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6"/>
      <w:lvlText w:val="第%1条"/>
      <w:lvlJc w:val="left"/>
      <w:pPr>
        <w:tabs>
          <w:tab w:val="left" w:pos="1134"/>
        </w:tabs>
        <w:ind w:left="-482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298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778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1573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16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03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4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28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2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E60CF0"/>
    <w:rsid w:val="000C2AD7"/>
    <w:rsid w:val="004A4919"/>
    <w:rsid w:val="005325AC"/>
    <w:rsid w:val="00590889"/>
    <w:rsid w:val="00795783"/>
    <w:rsid w:val="00884B51"/>
    <w:rsid w:val="00B07298"/>
    <w:rsid w:val="00BE1B6E"/>
    <w:rsid w:val="00C358FF"/>
    <w:rsid w:val="00D65F33"/>
    <w:rsid w:val="00DB165A"/>
    <w:rsid w:val="00E37134"/>
    <w:rsid w:val="00E60CF0"/>
    <w:rsid w:val="06CA1688"/>
    <w:rsid w:val="101117BF"/>
    <w:rsid w:val="1BF831BE"/>
    <w:rsid w:val="359B1B9B"/>
    <w:rsid w:val="3FB01EAB"/>
    <w:rsid w:val="4FD65CC5"/>
    <w:rsid w:val="785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条文"/>
    <w:next w:val="7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文本正文"/>
    <w:basedOn w:val="6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318</Characters>
  <Lines>2</Lines>
  <Paragraphs>1</Paragraphs>
  <TotalTime>0</TotalTime>
  <ScaleCrop>false</ScaleCrop>
  <LinksUpToDate>false</LinksUpToDate>
  <CharactersWithSpaces>318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ynnb</cp:lastModifiedBy>
  <dcterms:modified xsi:type="dcterms:W3CDTF">2024-09-13T07:53:28Z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E08DA46902BB4F9C91657A673116C16E_12</vt:lpwstr>
  </property>
</Properties>
</file>