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油零售证书第44D61246号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汕头市金港加油站有限公司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汕头市金港加油站有限公司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91440500738553242Y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蔡玲佳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2029-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3F53078"/>
    <w:rsid w:val="1652779C"/>
    <w:rsid w:val="165542F2"/>
    <w:rsid w:val="18724D28"/>
    <w:rsid w:val="1C3F7501"/>
    <w:rsid w:val="1C72170E"/>
    <w:rsid w:val="27200277"/>
    <w:rsid w:val="273500F8"/>
    <w:rsid w:val="285961DB"/>
    <w:rsid w:val="294C7E51"/>
    <w:rsid w:val="332245FA"/>
    <w:rsid w:val="33A154C2"/>
    <w:rsid w:val="380C7006"/>
    <w:rsid w:val="392841A3"/>
    <w:rsid w:val="39A209A1"/>
    <w:rsid w:val="39F56AAC"/>
    <w:rsid w:val="3CE2412B"/>
    <w:rsid w:val="3EB0555D"/>
    <w:rsid w:val="41613046"/>
    <w:rsid w:val="423C1CEE"/>
    <w:rsid w:val="42582609"/>
    <w:rsid w:val="42E81DA6"/>
    <w:rsid w:val="44EB3558"/>
    <w:rsid w:val="46614D4A"/>
    <w:rsid w:val="46BE4621"/>
    <w:rsid w:val="487C23FE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2558E5"/>
    <w:rsid w:val="6CDD0E93"/>
    <w:rsid w:val="6E1C742E"/>
    <w:rsid w:val="735E6655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2024-07-09T01:56:59Z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6020771C2529493E8AB588ECEFF57058_13</vt:lpwstr>
  </property>
</Properties>
</file>