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theme="minorBidi"/>
          <w:color w:val="auto"/>
          <w:sz w:val="32"/>
          <w:szCs w:val="32"/>
          <w:lang w:eastAsia="zh-CN" w:bidi="ar-SA"/>
        </w:rPr>
      </w:pPr>
      <w:r>
        <w:rPr>
          <w:rFonts w:ascii="黑体" w:hAnsi="黑体" w:eastAsia="黑体" w:cstheme="minorBidi"/>
          <w:color w:val="auto"/>
          <w:sz w:val="32"/>
          <w:szCs w:val="32"/>
          <w:lang w:bidi="ar-SA"/>
        </w:rPr>
        <w:t>附件</w:t>
      </w:r>
      <w:r>
        <w:rPr>
          <w:rFonts w:hint="eastAsia" w:ascii="黑体" w:hAnsi="黑体" w:eastAsia="黑体" w:cstheme="minorBidi"/>
          <w:color w:val="auto"/>
          <w:sz w:val="32"/>
          <w:szCs w:val="32"/>
          <w:lang w:val="en-US" w:eastAsia="zh-CN" w:bidi="ar-SA"/>
        </w:rPr>
        <w:t>3</w:t>
      </w:r>
    </w:p>
    <w:p>
      <w:pPr>
        <w:spacing w:line="600" w:lineRule="exact"/>
        <w:jc w:val="center"/>
        <w:rPr>
          <w:rFonts w:hint="eastAsia" w:ascii="小标宋" w:hAnsi="小标宋" w:eastAsia="小标宋" w:cs="小标宋"/>
          <w:color w:val="auto"/>
          <w:kern w:val="0"/>
          <w:sz w:val="44"/>
          <w:szCs w:val="44"/>
          <w:lang w:bidi="ar"/>
        </w:rPr>
      </w:pPr>
    </w:p>
    <w:p>
      <w:pPr>
        <w:spacing w:line="600" w:lineRule="exact"/>
        <w:jc w:val="center"/>
        <w:rPr>
          <w:rFonts w:hint="eastAsia" w:ascii="小标宋" w:hAnsi="小标宋" w:eastAsia="小标宋" w:cs="小标宋"/>
          <w:color w:val="auto"/>
          <w:kern w:val="0"/>
          <w:sz w:val="44"/>
          <w:szCs w:val="44"/>
          <w:lang w:bidi="ar"/>
        </w:rPr>
      </w:pPr>
      <w:bookmarkStart w:id="0" w:name="_GoBack"/>
      <w:r>
        <w:rPr>
          <w:rFonts w:hint="eastAsia" w:ascii="小标宋" w:hAnsi="小标宋" w:eastAsia="小标宋" w:cs="小标宋"/>
          <w:color w:val="auto"/>
          <w:kern w:val="0"/>
          <w:sz w:val="44"/>
          <w:szCs w:val="44"/>
          <w:lang w:bidi="ar"/>
        </w:rPr>
        <w:t>城市燃气管道“带病运行”问题清单</w:t>
      </w:r>
    </w:p>
    <w:bookmarkEnd w:id="0"/>
    <w:p>
      <w:pPr>
        <w:spacing w:line="600" w:lineRule="exact"/>
        <w:ind w:firstLine="640"/>
        <w:rPr>
          <w:rFonts w:hint="eastAsia" w:ascii="黑体" w:hAnsi="黑体" w:eastAsia="黑体" w:cs="黑体"/>
          <w:color w:val="auto"/>
          <w:szCs w:val="32"/>
        </w:rPr>
      </w:pPr>
      <w:r>
        <w:rPr>
          <w:rFonts w:hint="eastAsia" w:ascii="黑体" w:hAnsi="黑体" w:eastAsia="黑体" w:cs="黑体"/>
          <w:color w:val="auto"/>
          <w:szCs w:val="32"/>
        </w:rPr>
        <w:t>一、燃气管道老化</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1.灰口铸铁管道和不满足安全运行要求的球墨铸铁管道；</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2.运行年限满 20 年，经评估存在安全隐患的钢质管道、聚乙烯管道；</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3.运行年限不足 20 年，存在安全隐患，经评估无法通过落实管控措施保障安全的钢质管道、聚乙烯管道。</w:t>
      </w:r>
    </w:p>
    <w:p>
      <w:pPr>
        <w:spacing w:line="600" w:lineRule="exact"/>
        <w:ind w:firstLine="640"/>
        <w:rPr>
          <w:rFonts w:hint="eastAsia" w:ascii="黑体" w:hAnsi="黑体" w:eastAsia="黑体" w:cs="黑体"/>
          <w:color w:val="auto"/>
          <w:szCs w:val="32"/>
        </w:rPr>
      </w:pPr>
      <w:r>
        <w:rPr>
          <w:rFonts w:hint="eastAsia" w:ascii="黑体" w:hAnsi="黑体" w:eastAsia="黑体" w:cs="黑体"/>
          <w:color w:val="auto"/>
          <w:szCs w:val="32"/>
        </w:rPr>
        <w:t>二、燃气管道被违规占压</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4.在中压及以上地下燃气管线保护范围内，建有占压管线的建筑物、构筑物或者其他设施（重大隐患）；</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5.在燃气设施保护范围内建设占压地下燃气管线的建筑物、构筑物或者其他设施的；</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6.地下燃气管道从建筑物和大型构筑物（不包括架空的建筑物和大型构筑物）的下面穿越；</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7.燃气管道上方堆积、焚烧垃圾或放置易燃易爆危险物品。</w:t>
      </w:r>
    </w:p>
    <w:p>
      <w:pPr>
        <w:spacing w:line="600" w:lineRule="exact"/>
        <w:ind w:firstLine="640"/>
        <w:rPr>
          <w:rFonts w:hint="eastAsia" w:ascii="黑体" w:hAnsi="黑体" w:eastAsia="黑体" w:cs="黑体"/>
          <w:color w:val="auto"/>
          <w:szCs w:val="32"/>
        </w:rPr>
      </w:pPr>
      <w:r>
        <w:rPr>
          <w:rFonts w:hint="eastAsia" w:ascii="黑体" w:hAnsi="黑体" w:eastAsia="黑体" w:cs="黑体"/>
          <w:color w:val="auto"/>
          <w:szCs w:val="32"/>
        </w:rPr>
        <w:t>三、燃气管道穿越密闭空间</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8.除确需穿过且已采取有效防护措施外，输配管道在排水管（沟）、供水管渠、热力管沟、电缆沟、城市交通隧道、城市轨道交通隧道和地下人行通道等地下构筑物内敷设（重大隐患）；</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9.燃气相对密度大于等于 0.75 的燃气管道、调压装置等设置在地下室、半地下室、地下箱体及其他密闭地下空间内（重大隐患）；</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10.设置燃气设备、管道的场所存在燃气泄漏后聚集的条件；</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11.用户燃气管道及附件设置在建筑内的避难场所、电梯井和电梯前室、封闭楼梯间、防烟楼梯间及其前室；</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12.用户燃气管道及附件设置在电线（缆)、供暖和污水等沟槽。</w:t>
      </w:r>
    </w:p>
    <w:p>
      <w:pPr>
        <w:spacing w:line="600" w:lineRule="exact"/>
        <w:ind w:firstLine="640"/>
        <w:rPr>
          <w:rFonts w:hint="eastAsia" w:ascii="黑体" w:hAnsi="黑体" w:eastAsia="黑体" w:cs="黑体"/>
          <w:color w:val="auto"/>
          <w:szCs w:val="32"/>
        </w:rPr>
      </w:pPr>
      <w:r>
        <w:rPr>
          <w:rFonts w:hint="eastAsia" w:ascii="黑体" w:hAnsi="黑体" w:eastAsia="黑体" w:cs="黑体"/>
          <w:color w:val="auto"/>
          <w:szCs w:val="32"/>
        </w:rPr>
        <w:t>四、第三方施工破坏和建设项目违法</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13.燃气管道和设施周边的敷设管道、打桩、顶进、挖掘、钻探等建设项目未落实燃气设施保护方案等，包括建设单位在开工前未查明建设工程施工范围内地下燃气管线相关情况的，建设单位未会同施工单位与管道燃气经营者共同制定燃气设施保护方案的，建设单位、施工单位未落实安全交底、未采取相应安全保护措施、未落实第三方专人监护的等；</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14.燃气新建、改造等工程设计时压力、管位、选材、连接及埋深等不当，布局不合理；</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15.燃气施工建设过程中，建设、审批、监督手续缺失；存在转包、违法分包、挂靠等违法行为；不按施工方案施工、未验收合格即投入使用。</w:t>
      </w:r>
    </w:p>
    <w:p>
      <w:pPr>
        <w:spacing w:line="600" w:lineRule="exact"/>
        <w:ind w:firstLine="640"/>
        <w:rPr>
          <w:rFonts w:hint="eastAsia" w:ascii="黑体" w:hAnsi="黑体" w:eastAsia="黑体" w:cs="黑体"/>
          <w:color w:val="auto"/>
          <w:szCs w:val="32"/>
        </w:rPr>
      </w:pPr>
      <w:r>
        <w:rPr>
          <w:rFonts w:hint="eastAsia" w:ascii="黑体" w:hAnsi="黑体" w:eastAsia="黑体" w:cs="黑体"/>
          <w:color w:val="auto"/>
          <w:szCs w:val="32"/>
        </w:rPr>
        <w:t>五、燃气管道设置在人员居住等区域</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16.燃气管道及附件设置在卧室、旅馆建筑客房等人员居住和休息的房间内（重大隐患）；</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17.燃气引入管、立管、水平干管设置在卫生间内（重大隐患）；</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18.用户燃气管道及附件设置在空调机房、通风机房、计算机房和变、配电室等设备房间；</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19.用户燃气管道及附件设置在烟道、进风道和垃圾道等地方。</w:t>
      </w:r>
    </w:p>
    <w:p>
      <w:pPr>
        <w:spacing w:line="600" w:lineRule="exact"/>
        <w:ind w:firstLine="640"/>
        <w:rPr>
          <w:rFonts w:hint="eastAsia" w:ascii="黑体" w:hAnsi="黑体" w:eastAsia="黑体" w:cs="黑体"/>
          <w:color w:val="auto"/>
          <w:szCs w:val="32"/>
        </w:rPr>
      </w:pPr>
      <w:r>
        <w:rPr>
          <w:rFonts w:hint="eastAsia" w:ascii="黑体" w:hAnsi="黑体" w:eastAsia="黑体" w:cs="黑体"/>
          <w:color w:val="auto"/>
          <w:szCs w:val="32"/>
        </w:rPr>
        <w:t>六、燃气管道设置在危及管道自身安全区域</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20.用户燃气管道及附件设置在易燃或易爆品的仓库、有腐蚀性介质等场所；</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21.承载燃气管道的建构筑物、桥梁等已出现或被判定存在危及管道安全隐患的现象；</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22.燃气管道设施保护范围内有土体塌陷、滑坡、下沉等现象，处于或临近地质灾害易发区域；</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23.燃气管道上方种植深根植物。</w:t>
      </w:r>
    </w:p>
    <w:p>
      <w:pPr>
        <w:spacing w:line="600" w:lineRule="exact"/>
        <w:ind w:firstLine="640"/>
        <w:rPr>
          <w:rFonts w:hint="eastAsia" w:ascii="黑体" w:hAnsi="黑体" w:eastAsia="黑体" w:cs="黑体"/>
          <w:color w:val="auto"/>
          <w:szCs w:val="32"/>
        </w:rPr>
      </w:pPr>
      <w:r>
        <w:rPr>
          <w:rFonts w:hint="eastAsia" w:ascii="黑体" w:hAnsi="黑体" w:eastAsia="黑体" w:cs="黑体"/>
          <w:color w:val="auto"/>
          <w:szCs w:val="32"/>
        </w:rPr>
        <w:t>七、燃气管道安全间距不足</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24.地下燃气管道与建筑物、构筑物或相邻管道（给水管，污水、雨水排水管，电力电缆&lt;含电车电缆&gt;，通信电缆，其他燃气管道，热力管，电杆&lt;塔&gt;的基础，通讯照明电杆&lt;至电杆中心&gt;，铁路路堤坡脚，有轨电车钢轨，街树&lt;至树中心&gt;）之间的水平净距不足；地下燃气管道与构筑物或相邻管道（给水管、排水管或其它燃气管道，热力管、热力管的管沟底&lt;或顶&gt;，电缆，铁路&lt;轨底&gt;，有轨电车&lt;轨底&gt;）之间的垂直净距不足；</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25.架空燃气管道与铁路、道路、其他管线交叉时的垂直净距不足；</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26.地下燃气管道埋设的最小覆土厚度不足；</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27.调压站（含调压柜）与其他建筑物、构筑物（建筑物外墙面，重要公共建筑、一类高层民用建物，铁路&lt;中心线&gt;，城镇道路，公共电力变配电柜）水平净距不足。</w:t>
      </w:r>
    </w:p>
    <w:p>
      <w:pPr>
        <w:spacing w:line="600" w:lineRule="exact"/>
        <w:ind w:firstLine="640"/>
        <w:rPr>
          <w:rFonts w:hint="eastAsia" w:ascii="黑体" w:hAnsi="黑体" w:eastAsia="黑体" w:cs="黑体"/>
          <w:color w:val="auto"/>
          <w:szCs w:val="32"/>
        </w:rPr>
      </w:pPr>
      <w:r>
        <w:rPr>
          <w:rFonts w:hint="eastAsia" w:ascii="黑体" w:hAnsi="黑体" w:eastAsia="黑体" w:cs="黑体"/>
          <w:color w:val="auto"/>
          <w:szCs w:val="32"/>
        </w:rPr>
        <w:t>八、燃气管道养护检测不到位</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28.在建燃气压力管道未开展施工告知和安装监督检验、在役燃气压力管道超期未开展定期检验等；</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29.企业对燃气管道设施未落实定期安全检查，未落实泄漏检测、巡查维护制度；</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30.燃气管道长期超负荷运行；</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31.法兰、焊缝、管道受腐蚀穿孔泄漏，发生过泄露事故管道。</w:t>
      </w:r>
    </w:p>
    <w:p>
      <w:pPr>
        <w:spacing w:line="600" w:lineRule="exact"/>
        <w:ind w:firstLine="640"/>
        <w:rPr>
          <w:rFonts w:hint="eastAsia" w:ascii="黑体" w:hAnsi="黑体" w:eastAsia="黑体" w:cs="黑体"/>
          <w:color w:val="auto"/>
          <w:szCs w:val="32"/>
        </w:rPr>
      </w:pPr>
      <w:r>
        <w:rPr>
          <w:rFonts w:hint="eastAsia" w:ascii="黑体" w:hAnsi="黑体" w:eastAsia="黑体" w:cs="黑体"/>
          <w:color w:val="auto"/>
          <w:szCs w:val="32"/>
        </w:rPr>
        <w:t>九、未安装安全监测装置</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32.燃气厂站内设备和管道未设置防止系统压力参数超过限值的自动切断和放散装置（重大隐患）；</w:t>
      </w:r>
    </w:p>
    <w:p>
      <w:pPr>
        <w:pStyle w:val="2"/>
        <w:rPr>
          <w:rFonts w:hint="eastAsia" w:ascii="仿宋_GB2312" w:eastAsia="仿宋_GB2312" w:hAnsiTheme="minorHAnsi" w:cstheme="minorBidi"/>
          <w:color w:val="auto"/>
        </w:rPr>
      </w:pPr>
      <w:r>
        <w:rPr>
          <w:rFonts w:hint="eastAsia" w:ascii="仿宋_GB2312" w:eastAsia="仿宋_GB2312" w:hAnsiTheme="minorHAnsi" w:cstheme="minorBidi"/>
          <w:color w:val="auto"/>
        </w:rPr>
        <w:t>33.餐饮等人员密集场所燃气管道腐蚀、漏气，未规范安装、使用可燃气体探测器及燃气紧急切断阀。</w:t>
      </w:r>
    </w:p>
    <w:p>
      <w:pPr>
        <w:spacing w:line="600" w:lineRule="exact"/>
        <w:ind w:firstLine="640"/>
        <w:rPr>
          <w:rFonts w:hint="eastAsia" w:ascii="黑体" w:hAnsi="黑体" w:eastAsia="黑体" w:cs="黑体"/>
          <w:color w:val="auto"/>
          <w:szCs w:val="32"/>
        </w:rPr>
      </w:pPr>
      <w:r>
        <w:rPr>
          <w:rFonts w:hint="eastAsia" w:ascii="黑体" w:hAnsi="黑体" w:eastAsia="黑体" w:cs="黑体"/>
          <w:color w:val="auto"/>
          <w:szCs w:val="32"/>
        </w:rPr>
        <w:t>十、其他可能引发燃气事故、人员伤亡的管道安全问题。</w:t>
      </w:r>
    </w:p>
    <w:sectPr>
      <w:headerReference r:id="rId5" w:type="default"/>
      <w:footerReference r:id="rId6" w:type="default"/>
      <w:pgSz w:w="11906" w:h="16838"/>
      <w:pgMar w:top="1644" w:right="1474" w:bottom="1417" w:left="1588" w:header="851" w:footer="992" w:gutter="0"/>
      <w:pgNumType w:fmt="numberInDash" w:start="1"/>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libri Light">
    <w:altName w:val="Arial Rounded MT Bold"/>
    <w:panose1 w:val="020F0302020204030204"/>
    <w:charset w:val="00"/>
    <w:family w:val="swiss"/>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
    <w:altName w:val="方正仿宋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小标宋">
    <w:altName w:val="方正小标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4NGQyNDk2Zjc0YmVkZGE5YmZjMjUzNWVmMjQyODAifQ=="/>
  </w:docVars>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33575B6"/>
    <w:rsid w:val="063B6B94"/>
    <w:rsid w:val="06616D34"/>
    <w:rsid w:val="06831821"/>
    <w:rsid w:val="072059DD"/>
    <w:rsid w:val="07E37046"/>
    <w:rsid w:val="08187561"/>
    <w:rsid w:val="0A405725"/>
    <w:rsid w:val="0D6D37BD"/>
    <w:rsid w:val="0D9FA502"/>
    <w:rsid w:val="10096ED9"/>
    <w:rsid w:val="101B7C73"/>
    <w:rsid w:val="14624B76"/>
    <w:rsid w:val="154A675C"/>
    <w:rsid w:val="17FECD6F"/>
    <w:rsid w:val="18E33AF7"/>
    <w:rsid w:val="1BBFB779"/>
    <w:rsid w:val="1BF21E2B"/>
    <w:rsid w:val="1DFFA7A2"/>
    <w:rsid w:val="1E156057"/>
    <w:rsid w:val="1F3E52C2"/>
    <w:rsid w:val="1FD562BA"/>
    <w:rsid w:val="1FE70DF5"/>
    <w:rsid w:val="21213D64"/>
    <w:rsid w:val="216F4E80"/>
    <w:rsid w:val="232A49A5"/>
    <w:rsid w:val="272200E8"/>
    <w:rsid w:val="2AF464A5"/>
    <w:rsid w:val="2E46035B"/>
    <w:rsid w:val="2FBF13BC"/>
    <w:rsid w:val="30815F5D"/>
    <w:rsid w:val="30EBA1BC"/>
    <w:rsid w:val="3259102C"/>
    <w:rsid w:val="33E31D8B"/>
    <w:rsid w:val="34642697"/>
    <w:rsid w:val="35033494"/>
    <w:rsid w:val="364D3F88"/>
    <w:rsid w:val="395B7236"/>
    <w:rsid w:val="3BC26B96"/>
    <w:rsid w:val="3CF5A932"/>
    <w:rsid w:val="3D050B77"/>
    <w:rsid w:val="3DC042F8"/>
    <w:rsid w:val="3DF46A9C"/>
    <w:rsid w:val="3FA65476"/>
    <w:rsid w:val="3FF72EA8"/>
    <w:rsid w:val="405A589A"/>
    <w:rsid w:val="41543776"/>
    <w:rsid w:val="48C53127"/>
    <w:rsid w:val="494A3BF2"/>
    <w:rsid w:val="49767635"/>
    <w:rsid w:val="4A5C84E6"/>
    <w:rsid w:val="4ACD3044"/>
    <w:rsid w:val="4CBD4971"/>
    <w:rsid w:val="4E0451BC"/>
    <w:rsid w:val="4E6EF3A1"/>
    <w:rsid w:val="4EB05003"/>
    <w:rsid w:val="4F302401"/>
    <w:rsid w:val="50565456"/>
    <w:rsid w:val="54971FD5"/>
    <w:rsid w:val="57EFBE9C"/>
    <w:rsid w:val="57F5D6E6"/>
    <w:rsid w:val="58EB5453"/>
    <w:rsid w:val="5A8B2D88"/>
    <w:rsid w:val="5BFFF5AC"/>
    <w:rsid w:val="5E1625CE"/>
    <w:rsid w:val="5E2E5564"/>
    <w:rsid w:val="5E6D098A"/>
    <w:rsid w:val="5EA121A0"/>
    <w:rsid w:val="5EC77626"/>
    <w:rsid w:val="5EDBC971"/>
    <w:rsid w:val="5EEE4B23"/>
    <w:rsid w:val="5EF315AC"/>
    <w:rsid w:val="5F377F80"/>
    <w:rsid w:val="5F76FD9E"/>
    <w:rsid w:val="5F7D93F1"/>
    <w:rsid w:val="5FAB62E8"/>
    <w:rsid w:val="5FD37393"/>
    <w:rsid w:val="600D3694"/>
    <w:rsid w:val="6068328D"/>
    <w:rsid w:val="617C1E3C"/>
    <w:rsid w:val="64A86D05"/>
    <w:rsid w:val="68F522EC"/>
    <w:rsid w:val="69FBC6E9"/>
    <w:rsid w:val="6ABE5D6C"/>
    <w:rsid w:val="6ACB4CCB"/>
    <w:rsid w:val="6E1B237C"/>
    <w:rsid w:val="6E9B256F"/>
    <w:rsid w:val="6EDF45FE"/>
    <w:rsid w:val="6EF12BBF"/>
    <w:rsid w:val="6F27753D"/>
    <w:rsid w:val="6FBB7FA2"/>
    <w:rsid w:val="6FFF30C8"/>
    <w:rsid w:val="73398030"/>
    <w:rsid w:val="74043B91"/>
    <w:rsid w:val="76EB650C"/>
    <w:rsid w:val="77F738F0"/>
    <w:rsid w:val="77FA6A46"/>
    <w:rsid w:val="786F6749"/>
    <w:rsid w:val="7B947E4C"/>
    <w:rsid w:val="7BDBE83A"/>
    <w:rsid w:val="7BDF3910"/>
    <w:rsid w:val="7BF1E7BF"/>
    <w:rsid w:val="7C3F0B8D"/>
    <w:rsid w:val="7CFFB55B"/>
    <w:rsid w:val="7DAC0543"/>
    <w:rsid w:val="7DEF3E93"/>
    <w:rsid w:val="7DFD469C"/>
    <w:rsid w:val="7E7F08C3"/>
    <w:rsid w:val="7EEF0F7B"/>
    <w:rsid w:val="7EFF1702"/>
    <w:rsid w:val="7FA26DC5"/>
    <w:rsid w:val="7FF301A1"/>
    <w:rsid w:val="7FF7A9BC"/>
    <w:rsid w:val="7FFFA8C3"/>
    <w:rsid w:val="7FFFCED5"/>
    <w:rsid w:val="AFBBC798"/>
    <w:rsid w:val="B3AB4D5F"/>
    <w:rsid w:val="BE77B382"/>
    <w:rsid w:val="BFFF882C"/>
    <w:rsid w:val="CAB75BED"/>
    <w:rsid w:val="CFD71464"/>
    <w:rsid w:val="D5F6FD88"/>
    <w:rsid w:val="DDBF801F"/>
    <w:rsid w:val="DDDB8180"/>
    <w:rsid w:val="DF76E6CE"/>
    <w:rsid w:val="DF7B2528"/>
    <w:rsid w:val="E3735712"/>
    <w:rsid w:val="E5590C86"/>
    <w:rsid w:val="EADFD4EE"/>
    <w:rsid w:val="EB37511B"/>
    <w:rsid w:val="EF3F1590"/>
    <w:rsid w:val="F5FD0C5C"/>
    <w:rsid w:val="F78E92BD"/>
    <w:rsid w:val="FB76FEC7"/>
    <w:rsid w:val="FBB76E65"/>
    <w:rsid w:val="FBBD211E"/>
    <w:rsid w:val="FDEF5E34"/>
    <w:rsid w:val="FDF64FBD"/>
    <w:rsid w:val="FECE4610"/>
    <w:rsid w:val="FED92307"/>
    <w:rsid w:val="FF3B3ECB"/>
    <w:rsid w:val="FFFD8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22"/>
    <w:qFormat/>
    <w:uiPriority w:val="0"/>
    <w:pPr>
      <w:keepNext/>
      <w:keepLines/>
      <w:outlineLvl w:val="0"/>
    </w:pPr>
    <w:rPr>
      <w:rFonts w:eastAsia="黑体"/>
      <w:bCs/>
      <w:kern w:val="44"/>
      <w:szCs w:val="44"/>
    </w:rPr>
  </w:style>
  <w:style w:type="paragraph" w:styleId="4">
    <w:name w:val="heading 2"/>
    <w:basedOn w:val="1"/>
    <w:next w:val="1"/>
    <w:link w:val="17"/>
    <w:semiHidden/>
    <w:unhideWhenUsed/>
    <w:qFormat/>
    <w:uiPriority w:val="0"/>
    <w:pPr>
      <w:keepNext/>
      <w:keepLines/>
      <w:outlineLvl w:val="1"/>
    </w:pPr>
    <w:rPr>
      <w:rFonts w:eastAsia="楷体_GB2312" w:asciiTheme="majorHAnsi" w:hAnsiTheme="majorHAnsi" w:cstheme="majorBidi"/>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qFormat/>
    <w:uiPriority w:val="0"/>
    <w:pPr>
      <w:widowControl w:val="0"/>
      <w:spacing w:line="560" w:lineRule="exact"/>
      <w:ind w:firstLine="420" w:firstLineChars="200"/>
      <w:jc w:val="both"/>
    </w:pPr>
    <w:rPr>
      <w:rFonts w:ascii="Times New Roman" w:hAnsi="Times New Roman" w:eastAsia="方正仿宋" w:cs="Times New Roman"/>
      <w:kern w:val="2"/>
      <w:sz w:val="32"/>
      <w:szCs w:val="32"/>
      <w:lang w:val="en-US" w:eastAsia="zh-CN" w:bidi="ar-SA"/>
    </w:rPr>
  </w:style>
  <w:style w:type="paragraph" w:styleId="5">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6">
    <w:name w:val="Body Text"/>
    <w:basedOn w:val="1"/>
    <w:next w:val="1"/>
    <w:qFormat/>
    <w:uiPriority w:val="0"/>
    <w:pPr>
      <w:spacing w:before="0" w:after="140" w:line="276" w:lineRule="auto"/>
    </w:pPr>
  </w:style>
  <w:style w:type="paragraph" w:styleId="7">
    <w:name w:val="Balloon Text"/>
    <w:basedOn w:val="1"/>
    <w:link w:val="25"/>
    <w:qFormat/>
    <w:uiPriority w:val="0"/>
    <w:pPr>
      <w:spacing w:line="240" w:lineRule="auto"/>
    </w:pPr>
    <w:rPr>
      <w:sz w:val="18"/>
      <w:szCs w:val="18"/>
    </w:rPr>
  </w:style>
  <w:style w:type="paragraph" w:styleId="8">
    <w:name w:val="footer"/>
    <w:basedOn w:val="1"/>
    <w:next w:val="5"/>
    <w:link w:val="24"/>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qFormat/>
    <w:uiPriority w:val="0"/>
    <w:pPr>
      <w:spacing w:before="100" w:beforeAutospacing="1" w:after="100" w:afterAutospacing="1" w:line="240" w:lineRule="auto"/>
      <w:jc w:val="left"/>
    </w:pPr>
    <w:rPr>
      <w:rFonts w:ascii="Calibri" w:hAnsi="Calibri" w:eastAsia="宋体" w:cs="Times New Roman"/>
      <w:kern w:val="0"/>
      <w:sz w:val="24"/>
    </w:rPr>
  </w:style>
  <w:style w:type="paragraph" w:styleId="11">
    <w:name w:val="Title"/>
    <w:basedOn w:val="1"/>
    <w:next w:val="1"/>
    <w:link w:val="21"/>
    <w:qFormat/>
    <w:uiPriority w:val="0"/>
    <w:pPr>
      <w:jc w:val="center"/>
      <w:outlineLvl w:val="0"/>
    </w:pPr>
    <w:rPr>
      <w:rFonts w:eastAsia="方正小标宋简体" w:asciiTheme="majorHAnsi" w:hAnsiTheme="majorHAnsi" w:cstheme="majorBidi"/>
      <w:bCs/>
      <w:sz w:val="44"/>
      <w:szCs w:val="32"/>
    </w:rPr>
  </w:style>
  <w:style w:type="character" w:customStyle="1" w:styleId="14">
    <w:name w:val="标题 2 Char"/>
    <w:basedOn w:val="13"/>
    <w:link w:val="4"/>
    <w:semiHidden/>
    <w:qFormat/>
    <w:uiPriority w:val="0"/>
    <w:rPr>
      <w:rFonts w:eastAsia="楷体_GB2312" w:asciiTheme="majorHAnsi" w:hAnsiTheme="majorHAnsi" w:cstheme="majorBidi"/>
      <w:bCs/>
      <w:kern w:val="2"/>
      <w:sz w:val="32"/>
      <w:szCs w:val="32"/>
    </w:rPr>
  </w:style>
  <w:style w:type="character" w:customStyle="1" w:styleId="15">
    <w:name w:val="标题 字符"/>
    <w:basedOn w:val="13"/>
    <w:link w:val="11"/>
    <w:qFormat/>
    <w:uiPriority w:val="0"/>
    <w:rPr>
      <w:rFonts w:eastAsia="方正小标宋简体" w:asciiTheme="majorHAnsi" w:hAnsiTheme="majorHAnsi" w:cstheme="majorBidi"/>
      <w:bCs/>
      <w:kern w:val="2"/>
      <w:sz w:val="44"/>
      <w:szCs w:val="32"/>
    </w:rPr>
  </w:style>
  <w:style w:type="character" w:customStyle="1" w:styleId="16">
    <w:name w:val="标题 1 字符"/>
    <w:basedOn w:val="13"/>
    <w:link w:val="3"/>
    <w:qFormat/>
    <w:uiPriority w:val="0"/>
    <w:rPr>
      <w:rFonts w:eastAsia="黑体" w:asciiTheme="minorHAnsi" w:hAnsiTheme="minorHAnsi" w:cstheme="minorBidi"/>
      <w:bCs/>
      <w:kern w:val="44"/>
      <w:sz w:val="32"/>
      <w:szCs w:val="44"/>
    </w:rPr>
  </w:style>
  <w:style w:type="character" w:customStyle="1" w:styleId="17">
    <w:name w:val="标题 2 字符"/>
    <w:basedOn w:val="13"/>
    <w:link w:val="4"/>
    <w:semiHidden/>
    <w:qFormat/>
    <w:uiPriority w:val="0"/>
    <w:rPr>
      <w:rFonts w:eastAsia="楷体_GB2312" w:asciiTheme="majorHAnsi" w:hAnsiTheme="majorHAnsi" w:cstheme="majorBidi"/>
      <w:bCs/>
      <w:kern w:val="2"/>
      <w:sz w:val="32"/>
      <w:szCs w:val="32"/>
    </w:rPr>
  </w:style>
  <w:style w:type="character" w:customStyle="1" w:styleId="18">
    <w:name w:val="页眉 字符"/>
    <w:basedOn w:val="13"/>
    <w:link w:val="9"/>
    <w:qFormat/>
    <w:uiPriority w:val="0"/>
    <w:rPr>
      <w:rFonts w:eastAsia="仿宋_GB2312" w:asciiTheme="minorHAnsi" w:hAnsiTheme="minorHAnsi" w:cstheme="minorBidi"/>
      <w:kern w:val="2"/>
      <w:sz w:val="18"/>
      <w:szCs w:val="18"/>
    </w:rPr>
  </w:style>
  <w:style w:type="character" w:customStyle="1" w:styleId="19">
    <w:name w:val="页脚 字符"/>
    <w:basedOn w:val="13"/>
    <w:link w:val="8"/>
    <w:qFormat/>
    <w:uiPriority w:val="99"/>
    <w:rPr>
      <w:rFonts w:eastAsia="仿宋_GB2312" w:asciiTheme="minorHAnsi" w:hAnsiTheme="minorHAnsi" w:cstheme="minorBidi"/>
      <w:kern w:val="2"/>
      <w:sz w:val="18"/>
      <w:szCs w:val="18"/>
    </w:rPr>
  </w:style>
  <w:style w:type="paragraph" w:customStyle="1" w:styleId="20">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character" w:customStyle="1" w:styleId="21">
    <w:name w:val="标题 Char"/>
    <w:basedOn w:val="13"/>
    <w:link w:val="11"/>
    <w:qFormat/>
    <w:uiPriority w:val="0"/>
    <w:rPr>
      <w:rFonts w:eastAsia="方正小标宋简体" w:asciiTheme="majorHAnsi" w:hAnsiTheme="majorHAnsi" w:cstheme="majorBidi"/>
      <w:bCs/>
      <w:kern w:val="2"/>
      <w:sz w:val="44"/>
      <w:szCs w:val="32"/>
    </w:rPr>
  </w:style>
  <w:style w:type="character" w:customStyle="1" w:styleId="22">
    <w:name w:val="标题 1 Char"/>
    <w:basedOn w:val="13"/>
    <w:link w:val="3"/>
    <w:qFormat/>
    <w:uiPriority w:val="0"/>
    <w:rPr>
      <w:rFonts w:eastAsia="黑体" w:asciiTheme="minorHAnsi" w:hAnsiTheme="minorHAnsi" w:cstheme="minorBidi"/>
      <w:bCs/>
      <w:kern w:val="44"/>
      <w:sz w:val="32"/>
      <w:szCs w:val="44"/>
    </w:rPr>
  </w:style>
  <w:style w:type="character" w:customStyle="1" w:styleId="23">
    <w:name w:val="页眉 Char"/>
    <w:basedOn w:val="13"/>
    <w:link w:val="9"/>
    <w:qFormat/>
    <w:uiPriority w:val="0"/>
    <w:rPr>
      <w:rFonts w:eastAsia="仿宋_GB2312" w:asciiTheme="minorHAnsi" w:hAnsiTheme="minorHAnsi" w:cstheme="minorBidi"/>
      <w:kern w:val="2"/>
      <w:sz w:val="18"/>
      <w:szCs w:val="18"/>
    </w:rPr>
  </w:style>
  <w:style w:type="character" w:customStyle="1" w:styleId="24">
    <w:name w:val="页脚 Char"/>
    <w:basedOn w:val="13"/>
    <w:link w:val="8"/>
    <w:qFormat/>
    <w:uiPriority w:val="99"/>
    <w:rPr>
      <w:rFonts w:eastAsia="仿宋_GB2312" w:asciiTheme="minorHAnsi" w:hAnsiTheme="minorHAnsi" w:cstheme="minorBidi"/>
      <w:kern w:val="2"/>
      <w:sz w:val="18"/>
      <w:szCs w:val="18"/>
    </w:rPr>
  </w:style>
  <w:style w:type="character" w:customStyle="1" w:styleId="25">
    <w:name w:val="批注框文本 Char"/>
    <w:basedOn w:val="13"/>
    <w:link w:val="7"/>
    <w:qFormat/>
    <w:uiPriority w:val="0"/>
    <w:rPr>
      <w:rFonts w:ascii="Times New Roman" w:hAnsi="Times New Roman" w:eastAsia="宋体" w:cs="Times New Roman"/>
      <w:sz w:val="18"/>
      <w:szCs w:val="18"/>
    </w:rPr>
  </w:style>
  <w:style w:type="paragraph" w:customStyle="1" w:styleId="26">
    <w:name w:val="BodyText1I2"/>
    <w:basedOn w:val="27"/>
    <w:qFormat/>
    <w:uiPriority w:val="0"/>
    <w:pPr>
      <w:ind w:firstLine="420"/>
      <w:jc w:val="left"/>
    </w:pPr>
    <w:rPr>
      <w:rFonts w:ascii="Times New Roman" w:hAnsi="Times New Roman" w:eastAsia="宋体" w:cs="Times New Roman"/>
      <w:szCs w:val="21"/>
    </w:rPr>
  </w:style>
  <w:style w:type="paragraph" w:customStyle="1" w:styleId="27">
    <w:name w:val="BodyTextIndent"/>
    <w:basedOn w:val="1"/>
    <w:qFormat/>
    <w:uiPriority w:val="0"/>
    <w:pPr>
      <w:ind w:firstLine="640"/>
      <w:jc w:val="left"/>
    </w:pPr>
    <w:rPr>
      <w:rFonts w:ascii="宋体" w:hAnsi="宋体" w:eastAsia="宋体" w:cs="Times New Roman"/>
      <w:sz w:val="32"/>
    </w:rPr>
  </w:style>
  <w:style w:type="paragraph" w:customStyle="1" w:styleId="28">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17</Pages>
  <Words>7238</Words>
  <Characters>7306</Characters>
  <Lines>32</Lines>
  <Paragraphs>9</Paragraphs>
  <TotalTime>4</TotalTime>
  <ScaleCrop>false</ScaleCrop>
  <LinksUpToDate>false</LinksUpToDate>
  <CharactersWithSpaces>7447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2024-03-30T07:42:00Z</dcterms:created>
  <dc:creator>Administrator</dc:creator>
  <cp:lastModifiedBy>user</cp:lastModifiedBy>
  <cp:lastPrinted>2024-04-17T09:55:00Z</cp:lastPrinted>
  <dcterms:modified xsi:type="dcterms:W3CDTF">2024-06-07T18:28:56Z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07DB66D24D3A45C8B494E049FC27417D</vt:lpwstr>
  </property>
  <property fmtid="{D5CDD505-2E9C-101B-9397-08002B2CF9AE}" pid="4" name="showFlag">
    <vt:bool>true</vt:bool>
  </property>
</Properties>
</file>