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油零售证书第44D30222号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延长壳牌（广东）石油有限公司汕头澄海通益加油站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延长壳牌（广东）石油有限公司汕头澄海通益加油站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91440500MA4UM1MX4M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章建军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4EB3558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DD0E93"/>
    <w:rsid w:val="6E1C742E"/>
    <w:rsid w:val="796944AA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2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2024-06-06T02:06:11Z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63778F454F0345F3AFD1A40B19E379B5_13</vt:lpwstr>
  </property>
</Properties>
</file>