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品牌培育项目申报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一、支持对象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注册登记，具有独立法人资格，近三年无严重违法违规行为，且未拖欠应缴还财政性资金的企业。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（二）申报企业需符合以下条件：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在国内拥有自主品牌且已对该品牌在境外推广地注册商标，在支持时段</w:t>
      </w:r>
      <w:bookmarkStart w:id="10" w:name="_GoBack"/>
      <w:bookmarkEnd w:id="1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内已进行推广或广告投放；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年度珠三角地区企业年出口额达到500万美元以上；非珠三角地区企业年出口额达到300万美元以上。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二、支持时间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年1月1日-12月31日，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、支持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对企业面向境外宣传推广自主品牌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的实际支出，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每家企业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支持比例不超过50%且最高支持金额不超过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200万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元的标准予以支持。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eastAsia="zh-CN"/>
        </w:rPr>
        <w:t>对汽车出口企业在海外推广自主品牌的，单个企业每年最高资助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  <w:lang w:val="en-US" w:eastAsia="zh-CN"/>
        </w:rPr>
        <w:t>国家企业信用信息公示系统各栏目资料查询结果（https://gd.gsxt.gov.cn/index.html下载打印）。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品牌培育项目申请表（附件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宣传、推广活动等证明材料（现场图片或相关视频）。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推广合同及其费用支出凭证、发票。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以集团总部名义申报控股子公司项目的，提供股权关系证明。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对在我省（不含深圳）注册的控股子公司项目予以支持。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材料要求的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相关内容）等。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境内外品牌商标专用权或注册证明。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10.地市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商务主管部门要求的其它材料。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（一）材料要求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.申报材料需提交一式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商务主管部门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及企业（单位）均应留底备查。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品牌培育项目专项审计报告汇总格式（附件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）对申报材料进行编号和分类整理。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费用仅认定直接费用（包括合同约定的赞助费、媒体发行费、广告宣传活动费用等）。间接费用（包括支付奖金/提成、差旅费、广告测试费、储藏费、账号费、产品制作输出费、视觉设计及包装服务费、设计用图片检索服务费、为展厅设计和施工服务费、金品诚企服务费、定制邮件、聘请顾问咨询费、视频营销技术、视频编辑和模板素材服务费、打造爆款视频服务费、动画片海外版视频修改服务费、服务器托管费、网站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费、展位费等）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不计入境外推广费用。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按申报指引要求，以支付时间必须在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（1）若境外推广合同</w:t>
      </w:r>
      <w:bookmarkStart w:id="1" w:name="OLE_LINK7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也不予通过。</w:t>
      </w:r>
      <w:bookmarkEnd w:id="4"/>
      <w:bookmarkStart w:id="5" w:name="OLE_LINK1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若境外推广合同服务和实际支付时间均在支持期间，发票开具时间</w:t>
      </w:r>
      <w:bookmarkEnd w:id="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或显示不在支持期间的，</w:t>
      </w:r>
      <w:bookmarkEnd w:id="7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；发票开具时间不在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资料显示服务期间在支持期间的，则予以通过。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.品牌培育项目申请表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.品牌培育项目专项审计报告汇总格式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9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目前无正在接受纪检监察部门调查的情况且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9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28" w:leftChars="342" w:right="0" w:rightChars="0" w:hanging="210" w:hangingChars="100"/>
        <w:jc w:val="both"/>
        <w:textAlignment w:val="auto"/>
        <w:outlineLvl w:val="9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531" w:bottom="1304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17F5A83"/>
    <w:rsid w:val="289B31F4"/>
    <w:rsid w:val="29B959E6"/>
    <w:rsid w:val="2A4773D4"/>
    <w:rsid w:val="2BFEC533"/>
    <w:rsid w:val="2F78CF63"/>
    <w:rsid w:val="32F5717B"/>
    <w:rsid w:val="33F3D77F"/>
    <w:rsid w:val="33FE7673"/>
    <w:rsid w:val="369FAEA5"/>
    <w:rsid w:val="37AB50AC"/>
    <w:rsid w:val="37B2635E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3FF7964"/>
    <w:rsid w:val="561E7312"/>
    <w:rsid w:val="57FFAB15"/>
    <w:rsid w:val="590D0F38"/>
    <w:rsid w:val="593BABC3"/>
    <w:rsid w:val="5ABBF8E2"/>
    <w:rsid w:val="5B6F154F"/>
    <w:rsid w:val="5BCF5223"/>
    <w:rsid w:val="5BF37E84"/>
    <w:rsid w:val="5BFF3BE7"/>
    <w:rsid w:val="5C5A64E5"/>
    <w:rsid w:val="5CDBEC8F"/>
    <w:rsid w:val="5D37C26F"/>
    <w:rsid w:val="5D3F61C9"/>
    <w:rsid w:val="5DB7D2E8"/>
    <w:rsid w:val="5E725EE7"/>
    <w:rsid w:val="5EB628C3"/>
    <w:rsid w:val="5F7C4504"/>
    <w:rsid w:val="5FCE362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69F552B"/>
    <w:rsid w:val="67B5D975"/>
    <w:rsid w:val="67BEFF53"/>
    <w:rsid w:val="67DA6A15"/>
    <w:rsid w:val="68DFC29E"/>
    <w:rsid w:val="6AEBB1E6"/>
    <w:rsid w:val="6B0F5603"/>
    <w:rsid w:val="6B7F8A73"/>
    <w:rsid w:val="6BBC3A4D"/>
    <w:rsid w:val="6BFD2385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2075F7E"/>
    <w:rsid w:val="73F7392A"/>
    <w:rsid w:val="7677B390"/>
    <w:rsid w:val="773F0AE7"/>
    <w:rsid w:val="7747798E"/>
    <w:rsid w:val="7779990F"/>
    <w:rsid w:val="779BD03E"/>
    <w:rsid w:val="77EF5A63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BFD9B97"/>
    <w:rsid w:val="7CADA35A"/>
    <w:rsid w:val="7D3EEB7C"/>
    <w:rsid w:val="7D776C1E"/>
    <w:rsid w:val="7DD87931"/>
    <w:rsid w:val="7DDF6283"/>
    <w:rsid w:val="7DF7B56D"/>
    <w:rsid w:val="7DFD020A"/>
    <w:rsid w:val="7DFDB883"/>
    <w:rsid w:val="7E753756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55CEC3B"/>
    <w:rsid w:val="A9FE6A6E"/>
    <w:rsid w:val="AB266FAB"/>
    <w:rsid w:val="AB3B4E43"/>
    <w:rsid w:val="ABEEE8D9"/>
    <w:rsid w:val="AD5385C6"/>
    <w:rsid w:val="ADF76853"/>
    <w:rsid w:val="ADF7A8BC"/>
    <w:rsid w:val="ADFFA545"/>
    <w:rsid w:val="AEEDBBEB"/>
    <w:rsid w:val="AFB653ED"/>
    <w:rsid w:val="B7BF221A"/>
    <w:rsid w:val="B7EE0921"/>
    <w:rsid w:val="B7FE2320"/>
    <w:rsid w:val="B93C4018"/>
    <w:rsid w:val="BAFF8DD6"/>
    <w:rsid w:val="BBF793FF"/>
    <w:rsid w:val="BBFF8F35"/>
    <w:rsid w:val="BC1D689F"/>
    <w:rsid w:val="BCFEA918"/>
    <w:rsid w:val="BDFFCB8E"/>
    <w:rsid w:val="BEDEA55B"/>
    <w:rsid w:val="BEE681B2"/>
    <w:rsid w:val="BEFDB58D"/>
    <w:rsid w:val="BF373DA2"/>
    <w:rsid w:val="BF792C34"/>
    <w:rsid w:val="BFAE6BEA"/>
    <w:rsid w:val="BFCDF913"/>
    <w:rsid w:val="C7E74CA2"/>
    <w:rsid w:val="C7EF43CC"/>
    <w:rsid w:val="C7FF152B"/>
    <w:rsid w:val="CEFF20CF"/>
    <w:rsid w:val="CF9B2AE7"/>
    <w:rsid w:val="CFCB4A8F"/>
    <w:rsid w:val="CFFE2780"/>
    <w:rsid w:val="CFFF62C2"/>
    <w:rsid w:val="D3F75CEE"/>
    <w:rsid w:val="D68F93B5"/>
    <w:rsid w:val="D7AFD948"/>
    <w:rsid w:val="D7F513F5"/>
    <w:rsid w:val="DAFD0289"/>
    <w:rsid w:val="DB8FF09E"/>
    <w:rsid w:val="DBDFD150"/>
    <w:rsid w:val="DD3D9770"/>
    <w:rsid w:val="DD7F117B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5D52F78"/>
    <w:rsid w:val="E6F8218A"/>
    <w:rsid w:val="E7F62A84"/>
    <w:rsid w:val="E7F9D409"/>
    <w:rsid w:val="E7FBEC8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3FF9D5A"/>
    <w:rsid w:val="F497C199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ABF37ED"/>
    <w:rsid w:val="FB9F84A7"/>
    <w:rsid w:val="FBD71B40"/>
    <w:rsid w:val="FBF71230"/>
    <w:rsid w:val="FBFDB759"/>
    <w:rsid w:val="FCBD749A"/>
    <w:rsid w:val="FD055894"/>
    <w:rsid w:val="FD5AD831"/>
    <w:rsid w:val="FD7E17A5"/>
    <w:rsid w:val="FD7FD13E"/>
    <w:rsid w:val="FD9F12DF"/>
    <w:rsid w:val="FDA9DBCA"/>
    <w:rsid w:val="FDDB516D"/>
    <w:rsid w:val="FDDBA032"/>
    <w:rsid w:val="FDFE9219"/>
    <w:rsid w:val="FDFF5E74"/>
    <w:rsid w:val="FEAE91AF"/>
    <w:rsid w:val="FEDBD66C"/>
    <w:rsid w:val="FEE751D4"/>
    <w:rsid w:val="FEE9E3D3"/>
    <w:rsid w:val="FEEEA72F"/>
    <w:rsid w:val="FEEFA08D"/>
    <w:rsid w:val="FEFB78C3"/>
    <w:rsid w:val="FEFD93F4"/>
    <w:rsid w:val="FF2F4105"/>
    <w:rsid w:val="FF3E1CC6"/>
    <w:rsid w:val="FF4C921D"/>
    <w:rsid w:val="FF6EB996"/>
    <w:rsid w:val="FF7FF4C8"/>
    <w:rsid w:val="FFB74122"/>
    <w:rsid w:val="FFBC6C0F"/>
    <w:rsid w:val="FFBD0C7D"/>
    <w:rsid w:val="FFBE071C"/>
    <w:rsid w:val="FFBF544C"/>
    <w:rsid w:val="FFCE2C83"/>
    <w:rsid w:val="FFCF316F"/>
    <w:rsid w:val="FFDF7F86"/>
    <w:rsid w:val="FFDFC86A"/>
    <w:rsid w:val="FFE74980"/>
    <w:rsid w:val="FFEFE157"/>
    <w:rsid w:val="FFF9E31B"/>
    <w:rsid w:val="FFFB81E4"/>
    <w:rsid w:val="FFFF1CDE"/>
    <w:rsid w:val="FFFF505E"/>
    <w:rsid w:val="FFFF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正文文本 Char"/>
    <w:basedOn w:val="11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7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26</TotalTime>
  <ScaleCrop>false</ScaleCrop>
  <LinksUpToDate>false</LinksUpToDate>
  <CharactersWithSpaces>2594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2021-03-03T14:18:00Z</dcterms:created>
  <dc:creator>彩霞</dc:creator>
  <cp:lastModifiedBy>user</cp:lastModifiedBy>
  <cp:lastPrinted>2023-11-11T16:48:00Z</cp:lastPrinted>
  <dcterms:modified xsi:type="dcterms:W3CDTF">2024-01-16T16:12:48Z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33146E1CCFA4CBACE0198763C8CF0587</vt:lpwstr>
  </property>
</Properties>
</file>