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12"/>
        <w:spacing w:line="640" w:lineRule="exact"/>
        <w:rPr>
          <w:rFonts w:hint="default" w:ascii="Times New Roman" w:hAnsi="Times New Roman" w:eastAsia="方正小标宋简体"/>
          <w:color w:val="auto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汕头市按病种分值付费（DIP）</w:t>
      </w:r>
    </w:p>
    <w:p>
      <w:pPr>
        <w:spacing w:line="64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病种分值库入组规则</w:t>
      </w:r>
    </w:p>
    <w:p>
      <w:pPr>
        <w:pStyle w:val="12"/>
        <w:spacing w:line="560" w:lineRule="exact"/>
        <w:rPr>
          <w:rFonts w:hint="default" w:ascii="Times New Roman" w:hAnsi="Times New Roman"/>
          <w:color w:val="auto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一、病种（不含中医优势病种）入组规则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医疗保障</w:t>
      </w:r>
      <w:r>
        <w:rPr>
          <w:rFonts w:ascii="Times New Roman" w:hAnsi="Times New Roman" w:eastAsia="仿宋_GB2312"/>
          <w:bCs/>
          <w:sz w:val="32"/>
          <w:szCs w:val="32"/>
        </w:rPr>
        <w:t>经办机构按照医疗机构申报的参保人出院的《医疗保障基金结算清单》临床第一诊断</w:t>
      </w:r>
      <w:r>
        <w:rPr>
          <w:rFonts w:ascii="Times New Roman" w:hAnsi="Times New Roman" w:eastAsia="仿宋_GB2312"/>
          <w:sz w:val="32"/>
          <w:szCs w:val="32"/>
        </w:rPr>
        <w:t>ICD-10亚目及手术与操作代码、《汕头市按病种分值付费（DIP）病种分值库（2021年版）》</w:t>
      </w:r>
      <w:r>
        <w:rPr>
          <w:rFonts w:ascii="Times New Roman" w:hAnsi="Times New Roman" w:eastAsia="仿宋_GB2312"/>
          <w:bCs/>
          <w:sz w:val="32"/>
          <w:szCs w:val="32"/>
        </w:rPr>
        <w:t>，按以下规则</w:t>
      </w:r>
      <w:r>
        <w:rPr>
          <w:rFonts w:ascii="Times New Roman" w:hAnsi="Times New Roman" w:eastAsia="仿宋_GB2312"/>
          <w:sz w:val="32"/>
          <w:szCs w:val="32"/>
        </w:rPr>
        <w:t>匹配</w:t>
      </w:r>
      <w:r>
        <w:rPr>
          <w:rFonts w:ascii="Times New Roman" w:hAnsi="Times New Roman" w:eastAsia="仿宋_GB2312"/>
          <w:bCs/>
          <w:sz w:val="32"/>
          <w:szCs w:val="32"/>
        </w:rPr>
        <w:t>确定对应的病种及分值。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1.</w:t>
      </w:r>
      <w:r>
        <w:rPr>
          <w:rFonts w:ascii="Times New Roman" w:hAnsi="Times New Roman" w:eastAsia="仿宋_GB2312"/>
          <w:sz w:val="32"/>
          <w:szCs w:val="32"/>
        </w:rPr>
        <w:t>《医疗保障基金结算清单》的主要诊断病种代码和手术与操作代码与病种分值库完全匹配时，匹配唯一病种分值。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2.《医疗保障基金结算清单》的主要诊断病种代码能匹配病种分值库的病种，但手术与操作代码为空或未能匹配到相应手术与操作亚目病种的，匹配该亚目病种的保守治疗。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《医疗保障基金结算清单》的主要诊断病种代码能匹配病种分值库的病种，手术与操作编码项目多于相应病种的手术与操作编码项目时（不含已符合规则1情况），优先匹配分值高的病种，同时可匹配多个相同分值病种的，优先匹配手术与操作编码项目多的病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4.《医疗保障基金结算清单》的主要诊断按ICD-10前4位未匹配到的病种，按ICD-10前3位及相同规则匹配相应的综合病种及手术与操作代码所对应的病种。以上未匹配到的病种匹配到主要诊断首字母所对应的病种。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病种分值库中同一病种（含亚目、类目和首字母，下同）有多个手术与操作的，手术和操作编码使用“+”表示。病种手术与操作编码中存在“+”或多个“+”的，一次住院的实际手术与操作的编码要完全覆盖才可匹配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6.病种分值库中同一病种，手术与操作编码栏使用“/”表示的，一次住院的实际手术与操作编码仅需匹配到其中一个“/”前后编码的手术与操作即可。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7.按新生儿体重区分低出生体重儿分值，医疗机构未按规定上传新生儿体重无法区分入组到P07.101或P07.102获取相应分值的，入组到字母组。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二、中医优势病种匹配规则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医疗保障</w:t>
      </w:r>
      <w:r>
        <w:rPr>
          <w:rFonts w:ascii="Times New Roman" w:hAnsi="Times New Roman" w:eastAsia="仿宋_GB2312"/>
          <w:bCs/>
          <w:sz w:val="32"/>
          <w:szCs w:val="32"/>
        </w:rPr>
        <w:t>经办机构按照</w:t>
      </w:r>
      <w:r>
        <w:rPr>
          <w:rFonts w:ascii="Times New Roman" w:hAnsi="Times New Roman" w:eastAsia="仿宋_GB2312"/>
          <w:sz w:val="32"/>
          <w:szCs w:val="32"/>
        </w:rPr>
        <w:t>中医类医疗机构或综合医院的中医科上传中医优势病种标识，以及</w:t>
      </w:r>
      <w:r>
        <w:rPr>
          <w:rFonts w:ascii="Times New Roman" w:hAnsi="Times New Roman" w:eastAsia="仿宋_GB2312"/>
          <w:bCs/>
          <w:sz w:val="32"/>
          <w:szCs w:val="32"/>
        </w:rPr>
        <w:t>医疗机构申报的参保人出院的《医疗保障基金结算清单》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ascii="Times New Roman" w:hAnsi="Times New Roman" w:eastAsia="仿宋_GB2312"/>
          <w:bCs/>
          <w:sz w:val="32"/>
          <w:szCs w:val="32"/>
        </w:rPr>
        <w:t>中医诊断和西医临床第一诊断同时匹配中医优势病种库病种的，按中医优势病种库中病种的分值确定该病例分值。</w:t>
      </w:r>
    </w:p>
    <w:p>
      <w:pPr>
        <w:widowControl/>
        <w:jc w:val="left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pStyle w:val="2"/>
        <w:rPr>
          <w:rFonts w:ascii="Times New Roman" w:hAnsi="Times New Roman" w:eastAsia="仿宋_GB231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DOqXm5zwAAAAUBAAAPAAAAAAAAAAEAIAAAADgAAABkcnMvZG93bnJldi54&#10;bWxQSwECFAAUAAAACACHTuJAnNx/97QBAABSAwAADgAAAAAAAAABACAAAAA0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  <w:docVar w:name="KY_MEDREF_DOCUID" w:val="{84DDF5D4-5C6C-4BA4-AF6D-6DA921E55440}"/>
    <w:docVar w:name="KY_MEDREF_VERSION" w:val="3"/>
  </w:docVars>
  <w:rsids>
    <w:rsidRoot w:val="00BC6E9B"/>
    <w:rsid w:val="00127298"/>
    <w:rsid w:val="0014706D"/>
    <w:rsid w:val="001E22C5"/>
    <w:rsid w:val="004C48CA"/>
    <w:rsid w:val="005339CB"/>
    <w:rsid w:val="007A7D28"/>
    <w:rsid w:val="007F4A26"/>
    <w:rsid w:val="008343C8"/>
    <w:rsid w:val="009615B2"/>
    <w:rsid w:val="00A501DF"/>
    <w:rsid w:val="00B858DB"/>
    <w:rsid w:val="00BA69E1"/>
    <w:rsid w:val="00BC6E9B"/>
    <w:rsid w:val="00E019C4"/>
    <w:rsid w:val="00FC58B1"/>
    <w:rsid w:val="067D6FAE"/>
    <w:rsid w:val="0E6977D6"/>
    <w:rsid w:val="11F36B75"/>
    <w:rsid w:val="1EE00215"/>
    <w:rsid w:val="226D4CBF"/>
    <w:rsid w:val="245C5583"/>
    <w:rsid w:val="274F2C39"/>
    <w:rsid w:val="2B6D571F"/>
    <w:rsid w:val="2F2056EA"/>
    <w:rsid w:val="2F6BB350"/>
    <w:rsid w:val="32F735C7"/>
    <w:rsid w:val="34C27960"/>
    <w:rsid w:val="34D32278"/>
    <w:rsid w:val="3D4F1075"/>
    <w:rsid w:val="41301EB1"/>
    <w:rsid w:val="4BB80A0E"/>
    <w:rsid w:val="4BFC7D39"/>
    <w:rsid w:val="4F567881"/>
    <w:rsid w:val="5AB628B9"/>
    <w:rsid w:val="5DECEA80"/>
    <w:rsid w:val="636E7F57"/>
    <w:rsid w:val="63B77D9B"/>
    <w:rsid w:val="6FFB45F3"/>
    <w:rsid w:val="7EDF591D"/>
    <w:rsid w:val="7F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363</Characters>
  <Lines>3</Lines>
  <Paragraphs>1</Paragraphs>
  <TotalTime>6</TotalTime>
  <ScaleCrop>false</ScaleCrop>
  <LinksUpToDate>false</LinksUpToDate>
  <CharactersWithSpaces>425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2022-01-22T09:23:00Z</dcterms:created>
  <dc:creator>方泽丹</dc:creator>
  <cp:lastModifiedBy>xi</cp:lastModifiedBy>
  <cp:lastPrinted>2024-01-13T02:30:00Z</cp:lastPrinted>
  <dcterms:modified xsi:type="dcterms:W3CDTF">2024-01-18T09:42:55Z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9EBCF4E6B91D4AA69FCF6E539587AA92_12</vt:lpwstr>
  </property>
</Properties>
</file>