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汕头市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城市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二次供水管理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办法</w:t>
      </w: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（2023年12月29日汕头市人民政府令第210号公布   自2024年3月1日起施行）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为了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规范和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二次供水管理，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保障居民生活用水需求和安全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《城市供水条例》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《汕头市城市供水用水条例》等有关法律、法规，结合本市实际，制定本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 xml:space="preserve"> 本市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纳入中心城区公共供水服务范围的居民住宅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二次供水管理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，适用本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办法。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通过城市公共供水管道取水，经居民住宅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储存、加压等处理后向最终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用户供应生活用水的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供水方式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本办法所称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二次供水设施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，包括为二次供水设置的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泵房、供水管道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水池（箱）、水泵、阀门、电控装置、消毒设备、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计量水表、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压力水容器、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自动控制与监视系统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相关设施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应当遵循以人为本、规划统筹、科学管理、安全卫生、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节能环保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的原则。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市、区（县）人民政府应当加强对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领导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统筹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安排资金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改造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，协调解决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二次供水管理中的重大问题。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市城市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供水主管部门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是本市城市二次供水管理工作的主管部门，负责本办法的组织实施。区（县）城市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供水主管部门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具体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本行政区域内城市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指导、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卫生健康主管部门负责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二次供水的卫生监督工作。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发展改革、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公安、财政、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自然资源、住房城乡建设、市场监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城市管理综合执法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等部门按照各自职责，做好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编制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统筹考虑公共供水管网区域集中调蓄调压设施的布局，确保管网压力平稳均衡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发挥供水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专项规划对二次供水设施建设的调控作用，合理布置二次供水设施，促进节能降耗。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供水企业应当采取有效措施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确保城市公共供水管网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压力符合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国家规定的标准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市城市供水主管部门会同市住房城乡建设、自然资源、卫生健康等部门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有关规定和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编制居民住宅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二次供水设施技术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经市人民政府同意后由市城市供水主管部门组织实施，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指导二次供水设施的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建设管理工作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新建、扩建、改建的居民住宅对供水水压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要求超过国家规定的供水水压标准的，建设单位应当配套建设二次供水设施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所需投资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纳入工程项目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自然资源主管部门在组织实施住宅用地使用权出让时，应当在投标或者竞买须知中提示二次供水设施配建要求。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配套建设的二次供水设施应当独立设置，不得与消防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用水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等设施混用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应当与主体工程同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设计、同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施工、同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交付使用。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第八条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新建、扩建、改建的居民住宅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二次供水设施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符合国家和地方相关规定、标准和规范，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满足与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公共供水管网连接的基本条件和管理要求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体现“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一户一表、水表出户、计量到户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的设计内容。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建设单位应当向城市供水企业咨询项目所在区域供水管网水质、水压、水量等情况，合理确定二次供水设施设计方案；城市供水企业应当为建设单位开展二次供水设施设计提供技术指导。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建设单位组织编制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二次供水设施设计文件应当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书面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征求城市供水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企业意见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。施工图审查机构依法开展施工图审查时，应当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二次供水设施设计文件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进行审查；二次供水设施设计文件审查不合格的，不得出具施工图审查合格意见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第九条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二次供水设施的设计、施工应当由具备相应资质的单位承担，并接受城市供水主管部门的指导、监督。鼓励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供水企业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二次供水设施建设所用设备、材料、器具、仪表等应当符合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的质量、卫生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、计量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标准和管网安全运行要求，并且符合卫生防疫以及生活饮用水标准需要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不得使用国家明令禁止和淘汰的设备、配件和管材。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鼓励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二次供水设施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运用物联网、大数据等现代信息技术，满足在线监测、数据实时上传、远程管理控制等智能化管理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建设单位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二次供水设施竣工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验收时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邀请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城市供水主管部门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城市供水企业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未经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竣工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验收或者验收不合格的二次供水设施，不得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擅自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接入城市公共供水管网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使用；城市供水企业不予供水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设施投入使用前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，建设单位应当进行清洗消毒，并委托具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资质的水质检测机构进行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检测，经检测合格后方可供水。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第十一条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二次供水设施竣工验收合格后，应当依法移交城市供水企业统一运行、维护和管理。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建设单位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将竣工总平面图、结构设备竣工图、地下管网工程竣工图、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安装使用和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维护保养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设施档案、图文资料以及相关系统控制权限一并移交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二次供水设施移交给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供水企业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统一运行、维护和管理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的，由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供水企业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按照政府定价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直接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向最终用户收取水费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二次供水设施的运行维护及后续修理更新成本计入供水价格，不得另行收费。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本办法施行前已获得施工许可的在建居民住宅项目，鼓励引导建设单位与城市供水企业协商，在竣工验收合格后将二次供水设施移交城市供水企业统一运行、维护和管理。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第十二条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本办法施行前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交付使用的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居民住宅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由全体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依法决定委托相关单位进行运行、维护和管理。鼓励业主将二次供水设施依法委托城市供水企业统一运行、维护和管理；二次供水设施不符合相关技术、规范要求的，应当因地制宜实施改造后方可移交。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业主共同决定对二次供水设施实施改造的，可以按照有关规定使用住宅专项维修资金。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市、区（县）人民政府应当加强资金统筹，探索政府、城市供水企业和居民合理共担的改造机制，支持既有居民住宅小区二次供水设施改造。市城市供水主管部门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会同市财政等相关部门制定具体改造方案，报市人民政府批准后组织实施。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　第十三条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二次供水设施管理单位应当保证二次供水设施完好，保证水质、水压合格，并保障二十四小时连续供水。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二次供水设施管理单位对设备进行检修和清洗消毒需要停水的，应当提前二十四小时通知用户；因发生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自然灾害或者突发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能提前通知的，应当在抢修的同时通知用户。停水时间超过二十四小时的，应当采取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供水措施。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第十四条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二次供水设施管理单位应当建立健全二次供水设施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维护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、清洗消毒、档案管理、应急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和治安防范等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人防、技防、物防措施，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配备专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职人员对二次供水设施进行定期维护、保养，保证二次供水设施的正常、安全供水。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二次供水设施管理单位应当至少每半年对二次供水设施的蓄水池、水箱等进行一次清洗消毒，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由具备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资质的水质检测机构检测水质，并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自收到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检测结果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之日起五日内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向用户公布。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二次供水设施管理单位可以委托专业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承担清洗消毒工作，但不得向用户另行收取清洗消毒费。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第十五条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直接从事二次供水卫生管理和清洗、消毒等工作的人员，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应当经体检合格并通过专业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知识培训，每年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进行健康检查。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患有碍饮用水卫生疾病的人员，不得直接从事二次供水的管理和清洗、消毒等工作。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第十六条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二次供水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清洗消毒所使用的清洁用具、清洗剂、除垢剂、消毒剂等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符合有关规定和标准，不得对二次供水造成二次污染。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第十七条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涉及二次供水设施的建设工程开工前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建设单位应当向二次供水设施管理单位查明供水管网情况，二次供水设施管理单位应当予以配合。施工影响二次供水设施安全的，建设单位应当与二次供水设施管理单位商定相应的保护措施。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二次供水设施管理单位应当制订日常供水应急预案。当水质受到污染或者出现异常，可能危及人体健康时，二次供水设施管理单位应当立即采取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暂停供水等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控制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措施，及时向卫生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健康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、城市供水主管部门报告，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调查处理。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接到水质异常报告或者二次供水水质投诉后，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供水主管部门应当会同卫生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健康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主管部门及时开展处置工作并采取必要措施，确保水质安全。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城市供水主管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部门应当加强对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二次供水的水质、水压，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二次供水设施建设、管理单位落实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二次供水管理要求等情况的监督检查。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第二十条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违反本办法第八条第三款规定，建设单位未将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二次供水设施设计文件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书面征求城市供水企业意见即开工建设的，由城市供水主管部门责令限期改正；逾期未改正的，处一万元以上三万元以下罚款。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第二十一条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违反本办法第十一条第一款规定，建设单位未按要求将二次供水设施移交城市供水企业统一运行、维护和管理的，由城市供水主管部门责令限期改正；逾期未改正的，处一万元以上三万元以下罚款。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第二十二条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违反本规定第十四条第二款规定，二次供水设施管理单位未按要求公布水质检测结果的，由城市供水主管部门责令限期改正；逾期未改正的，处二千元以上一万元以下罚款。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第二十三条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违反本规定第十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条第一款规定，二次供水设施管理单位未履行水质异常报告义务的，由城市供水主管部门责令改正，处二千元以上一万元以下罚款。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第二十四条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违反本办法其他规定的，依照城市供水和生活饮用水卫生监督管理有关法律、法规、规章进行处理；造成损害的，依法承担民事责任；构成犯罪的，依法追究刑事责任。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第二十五条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城市供水主管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部门和其他有关部门及其工作人员在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二次供水管理工作中玩忽职守、滥用职权、徇私舞弊的，对直接负责的主管人员和其他直接责任人员依法给予处分；构成犯罪的，依法追究刑事责任。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第二十六条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尚未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纳入中心城区公共供水服务范围的居民住宅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二次供水管理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相关区（县）人民政府应当参照本办法制定二次供水管理办法。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　第二十七条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日起施行。2010年7月22日汕头市人民政府公布的《汕头市城市居民住宅二次供水管理规定》（汕头市人民政府令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115号）同时废止。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汕头市人民政府发布     </w:t>
    </w:r>
  </w:p>
  <w:p>
    <w:pPr>
      <w:pStyle w:val="6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汕头市人民政府规章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3518"/>
    <w:rsid w:val="00172A27"/>
    <w:rsid w:val="003354A2"/>
    <w:rsid w:val="00F21390"/>
    <w:rsid w:val="019E71BD"/>
    <w:rsid w:val="04B679C3"/>
    <w:rsid w:val="080F63D8"/>
    <w:rsid w:val="09341458"/>
    <w:rsid w:val="0B0912D7"/>
    <w:rsid w:val="13B9977E"/>
    <w:rsid w:val="152D2DCA"/>
    <w:rsid w:val="1CDBD2E8"/>
    <w:rsid w:val="1DEC284C"/>
    <w:rsid w:val="1E6523AC"/>
    <w:rsid w:val="1FFD6191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6E2C8BFD"/>
    <w:rsid w:val="747EF602"/>
    <w:rsid w:val="7C9011D9"/>
    <w:rsid w:val="7DC651C5"/>
    <w:rsid w:val="7EFB7C05"/>
    <w:rsid w:val="7FCC2834"/>
    <w:rsid w:val="BD7BA10D"/>
    <w:rsid w:val="FE6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3715</Words>
  <Characters>3734</Characters>
  <Lines>5</Lines>
  <Paragraphs>1</Paragraphs>
  <TotalTime>51</TotalTime>
  <ScaleCrop>false</ScaleCrop>
  <LinksUpToDate>false</LinksUpToDate>
  <CharactersWithSpaces>3887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xi</cp:lastModifiedBy>
  <cp:lastPrinted>2021-10-27T19:30:00Z</cp:lastPrinted>
  <dcterms:modified xsi:type="dcterms:W3CDTF">2024-01-04T15:29:28Z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48C61CB29D3F4D9384F5922CF0F7FFB4</vt:lpwstr>
  </property>
</Properties>
</file>