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2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43"/>
        <w:gridCol w:w="1215"/>
        <w:gridCol w:w="1148"/>
        <w:gridCol w:w="1240"/>
        <w:gridCol w:w="4122"/>
        <w:gridCol w:w="4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3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附件.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6"/>
                <w:szCs w:val="36"/>
                <w:lang w:val="en-US" w:eastAsia="zh-CN"/>
              </w:rPr>
              <w:t>2023年度土壤污染重点监管单位自行监测结果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区县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重点监管单位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统一代码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行业类别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土壤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监测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地下水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监测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汕头市特种废弃物处理中心有限公司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914405007564621000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77生态保护和环境治理业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中除氨氮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超过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Ⅲ类标准要求水质外，其他检测指标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均达到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西陇科学股份有限公司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91440500231666168R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化学试剂和助剂制造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Ⅴ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类标准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样品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达到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Ⅳ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类标准水质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汕头市恒建科创生物质发电有限公司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9144050069049035XF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44 电力、热力生产和供应业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指标中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除浑浊度、总硬度、溶解性总固体、锰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超过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Ⅲ类标准要求水质外，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他检测指标均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《地下水质量标准》(GB/T14848-2017)中Ⅲ类标准水质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广东光华科技股份有限公司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91440500192821099K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化学原料和化学制品制造业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指标中除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浑浊度、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pH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值、总硬度、溶解性总固体、高锰酸盐指数、氨氮、硝酸盐、硫酸盐、氯化物、铁、锰、钠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超过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Ⅲ类标准要求水质外，其他检测指标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符合《地下水质量标准》(GB/T14848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2017) 的Ⅲ类标准水质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汕头市金平区新凯达印制版有限公司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91440511MA514JMF3C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35印刷专用设备制造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Ⅴ类标准限值，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指标均优于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2017) 的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Ⅴ类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标准水质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汕头超声印制板公司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914405006175331222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39计算机、通信和其他电子设备制造业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Ⅴ类标准限值，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符合《地下水质量标准》(GB/T14848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2017) 的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Ⅴ类标准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水质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汕头乐凯胶片有限公司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91440500794649150X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化学原料和化学制品制造业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Ⅳ类标准限值，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除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浑浊度、总硬度、溶解性总固体、耗氧量、氨氮、氟化物、氯化物、铁部分点位超出Ⅳ类标准水质要求外，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其他检测指标均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《地下水质量标准》(GB/T14848-2017)中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Ⅳ类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标准水质要求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汕头经济特区化工气体厂有限公司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91440507192771079T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Ⅴ类标准限值，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除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浑浊度、肉眼可见度、氨氮、氯化物、锰符合Ⅴ类标准要求外，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其他检测指标均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优于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《地下水质量标准》(GB/T14848-2017)中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Ⅴ类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标准水质要求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汕头市龙湖昌丰化工有限公司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91440507708029765W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Ⅴ类标准限值，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除浑浊度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嗅和味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肉眼可见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物、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锰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符合Ⅴ类标准要求外，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其他检测指标均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优于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《地下水质量标准》(GB/T14848-2017)中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Ⅴ类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标准水质要求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7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广东大中三联科技有限公司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914405007879603034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Ⅴ类标准限值，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中除色度、嗅和味、浑浊度、肉眼可见物、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锰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、氨氮符合Ⅴ类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标准水质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要求外，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其他检测指标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均达到或优于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《地下水质量标准》(GB/T14848-2017)中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Ⅳ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类标准水质要求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汕头市金隆基油墨有限公司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91440507760628853E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Ⅴ类标准限值，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中嗅和味、浑浊度、肉眼可见物符合Ⅴ类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标准水质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要求外，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其他检测指标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均达到或优于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《地下水质量标准》(GB/T14848-2017)中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Ⅳ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类标准水质要求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。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汉高粘合剂有限公司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914405006175425983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Ⅴ类标准限值，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达到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Ⅳ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汕头超声印制板（二厂）有限公司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914405007287510690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39电子电路制造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Ⅴ类标准限值，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Ⅴ</w:t>
            </w:r>
            <w:r>
              <w:rPr>
                <w:b w:val="0"/>
                <w:bCs w:val="0"/>
                <w:spacing w:val="-2"/>
              </w:rPr>
              <w:t>类标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濠江区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汕头凯星印制板有限公司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91440500722498808Q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计算机、通信和其他电子设备制造业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除浑浊度、氨氮、氟化物、铁、锰、铝部分点位超出Ⅲ类标准水质要求外，其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濠江区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宏俐（汕头）电子科技有限公司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91440500671557969W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计算机、通信和其他电子设备制造业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除浑浊度、总硬度、溶解性总固体、耗氧量、氨氮、氟化物、硫酸盐、氯化物、铁、锰、钠部分点位超出Ⅲ类标准水质要求外，其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濠江区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汕头市利得堡环保废物处理有限公司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914405127709902071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77生态保护和环境治理业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除浑浊度、耗氧量、氟化物、锰和钠超出Ⅲ类标准水质要求外，其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潮阳区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汕头市绿色动力再生能源有限公司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91440500321691287T()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44 电力、热力生产和供应业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潮阳区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汕头市贵屿工业园区再生资源实业有限公司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914405133232263464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51再生物资回收与批发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中9个点位铅、1个点位镍超过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《土壤环境质量建设用地土壤污染风险管控标准》（GB36600-2018）中第二类用地的筛选值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外，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均未超过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浑浊度、总硬度、溶解性总固体、氨氮、耗氧量、硫酸盐、钠、锰、铁、氯化物、硝酸盐、亚硝酸盐、铅、氟化物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超出《地下水质量标准(GB/Tl4848-2017)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Ⅲ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类标准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水质要求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，其他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均符合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和准和《建设用地土壤污染状况调查技术导则》HJ25.3-2019附录 E推导风险控制值（第二类用地）的要求。</w:t>
            </w:r>
          </w:p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潮阳区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汕头市TCL德庆环保发展有限公司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91440513597475091B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42废弃资源综合利用业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pH值、浑浊度、色度、嗅和味、肉眼可见物、总硬度、溶解性固体、氨氮、硫酸盐、铝、锌、锰、铁、硒、铅、耗氧量、菌落总数、总大肠菌群、镍、硼、铊，超出Ⅲ类标准水质要求，其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潮南区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中节能（汕头潮南）环保能源有限公司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914405143249713649()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44 电力、热力生产和供应业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氨氮、锰、铁、铅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菌落总数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超过Ⅲ类标准水质要求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2个地下水样品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砷、硒、铍、钡超过地下水Ⅲ类标准水质要求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，2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个地下水样品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总大肠菌群超出Ⅲ类标准水质要求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1个地下水样品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镍超出Ⅲ类标准水质要求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汕头市澄海洁源垃圾发电厂有限公司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9144051574705930X6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44 电力、热力生产和供应业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中色度、浑浊度、溶解性总固体、总大肠菌群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超过Ⅲ类标准水质要求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保税区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汕头市光彩新材料科技有限公司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91440500747078260D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中除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浑浊度、总硬度、耗氧量、氨氮、氟化物、硫酸盐、氯化物、铁和锰超Ⅲ类标准水质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其他检测指标均符合《地下水质量标准》(GB/T14848-2017)的Ⅲ类标准水质要求。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36461"/>
    <w:rsid w:val="5333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6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纯文本1"/>
    <w:basedOn w:val="1"/>
    <w:next w:val="4"/>
    <w:qFormat/>
    <w:uiPriority w:val="0"/>
    <w:rPr>
      <w:rFonts w:ascii="宋体" w:hAnsi="Courier New"/>
      <w:szCs w:val="20"/>
    </w:rPr>
  </w:style>
  <w:style w:type="paragraph" w:customStyle="1" w:styleId="4">
    <w:name w:val="湛江码头表"/>
    <w:basedOn w:val="1"/>
    <w:next w:val="5"/>
    <w:qFormat/>
    <w:uiPriority w:val="0"/>
    <w:pPr>
      <w:widowControl/>
      <w:spacing w:after="200" w:line="276" w:lineRule="auto"/>
      <w:jc w:val="center"/>
    </w:pPr>
    <w:rPr>
      <w:rFonts w:ascii="Times New Roman" w:eastAsia="仿宋_GB2312"/>
      <w:sz w:val="20"/>
    </w:rPr>
  </w:style>
  <w:style w:type="paragraph" w:customStyle="1" w:styleId="5">
    <w:name w:val="T正文"/>
    <w:next w:val="1"/>
    <w:qFormat/>
    <w:uiPriority w:val="0"/>
    <w:pPr>
      <w:spacing w:after="200" w:line="276" w:lineRule="auto"/>
      <w:ind w:firstLine="200"/>
      <w:jc w:val="both"/>
    </w:pPr>
    <w:rPr>
      <w:rFonts w:ascii="Calibri" w:hAnsi="Calibri" w:eastAsia="Times New Roman" w:cs="Times New Roman"/>
      <w:sz w:val="28"/>
      <w:lang w:val="en-US" w:eastAsia="zh-CN" w:bidi="ar-SA"/>
    </w:rPr>
  </w:style>
  <w:style w:type="paragraph" w:customStyle="1" w:styleId="6">
    <w:name w:val="样式35"/>
    <w:basedOn w:val="1"/>
    <w:next w:val="7"/>
    <w:qFormat/>
    <w:uiPriority w:val="0"/>
    <w:pPr>
      <w:spacing w:line="312" w:lineRule="auto"/>
      <w:ind w:firstLine="567"/>
    </w:pPr>
    <w:rPr>
      <w:rFonts w:ascii="宋体"/>
      <w:sz w:val="28"/>
    </w:rPr>
  </w:style>
  <w:style w:type="paragraph" w:customStyle="1" w:styleId="7">
    <w:name w:val="font6"/>
    <w:basedOn w:val="1"/>
    <w:next w:val="8"/>
    <w:qFormat/>
    <w:uiPriority w:val="0"/>
    <w:pPr>
      <w:widowControl/>
      <w:spacing w:before="280" w:after="280"/>
    </w:pPr>
    <w:rPr>
      <w:rFonts w:ascii="Times New Roman"/>
    </w:rPr>
  </w:style>
  <w:style w:type="paragraph" w:styleId="8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11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2023-12-31T02:00:00Z</dcterms:created>
  <dc:creator>user</dc:creator>
  <cp:lastModifiedBy>user</cp:lastModifiedBy>
  <dcterms:modified xsi:type="dcterms:W3CDTF">2023-12-31T02:01:30Z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CDFF4B398595492A8CC9E31A372839C9</vt:lpwstr>
  </property>
</Properties>
</file>