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汕头市生态环境局2024年省级打好污染防治攻坚战专项资金分配方案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eastAsia="zh-CN"/>
        </w:rPr>
      </w:pP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根据《关于填报2024年申请省级专项资金“二上”项目方案的通知》（详见附件1），省分配至我市2024年</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打好污染防治攻坚战专项资金“一下”控制数共计8523万元，共分为6类政策任务，安</w:t>
      </w:r>
      <w:r>
        <w:rPr>
          <w:rFonts w:hint="eastAsia" w:ascii="仿宋_GB2312" w:hAnsi="仿宋_GB2312" w:eastAsia="仿宋_GB2312" w:cs="仿宋_GB2312"/>
          <w:color w:val="auto"/>
          <w:sz w:val="32"/>
          <w:szCs w:val="32"/>
        </w:rPr>
        <w:t>排</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sz w:val="32"/>
          <w:szCs w:val="32"/>
        </w:rPr>
        <w:t>个项目。具体分配方案如下：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一、水污染防治和省内外流域生态补偿类补助资金6510万元，拟安排项目7个，分别为：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（一）汕头市金平区梅溪河饮用水水源保护区围网升级改造及修缮工程拟分配资金110万元；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（二）汕头市南澳县饮用水源保护规范化建设项目实施方案拟分配资金200万元；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（三）汕头市潮阳区谷饶镇练江流域总口截污关键点位雨污分流改造工程拟分配资金580万元；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（四）汕头市玉鉴湖城市水体水质保障技术支撑项目拟分配资金70万元；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（五）汕头市分散式农村生活污水治理设施智慧监管项目拟分配资金550万元；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（六）潮南区“源头截污、雨污分流”管网补缺工程拟分配资金3900万元；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（七）汕头市澄海区入河排污口整治示范工程拟分配资金970万元。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另根据省相关要求，提取不超过2%（即130万元）作为专项资金工作经费，分别为：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（一）汕头市2024年度省级财政专项资金项目库建设项目拟分配资金80万元；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（二）拟分配资金50万元用于2024年度省级专项资金事中事后监管项目。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二、大气污染防治与应对气候变化类补助资金688万元，拟安排项目7个，其中：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（一）应对气候变化类分配资金金额88万元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安排项目1个，即2024年汕头市“广东碳标签”碳足迹评估示范项目拟分配资金88万元。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（二）大气污染防治类分配资金金额600万元，拟安排项目6个，分别为：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1.广东骊虹包装有限公司挥发性有机物（VOCs）深度治理项目拟分配资金73万元；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2.固定污染源VOCs执法检测能力提升项目拟分配资金56万元；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3.2024年汕头市空气质量保障及污染天气精细化管理项目拟分配资金211万元；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4.汕头市2024年度移动源排气污染控制监督抽查项目拟分配资金40万元；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5.汕头市噪声重点监控对象识别项目拟分配资金124万元；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6.2024年汕头市噪声污染精准管控项目拟分配资金84万元</w:t>
      </w:r>
      <w:r>
        <w:rPr>
          <w:rFonts w:hint="eastAsia"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另根据省相关要求，提取不超过2%（即12万元）作为专项资金工作经费，用于2024年度省级专项资金事中事后监管项目。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三、土壤和地下水污染防治类补助资金357万元，拟安排项目2个，其中：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（一）土壤污染防治类分配资金金额97万元，拟安排项目1个，即汕头市2024年土壤污染重点监管单位周边监测项目拟分配资金95万元；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（二）地下水污染防治类分配资金金额260万元，拟安排项目1个，即汕头市地下水污染防治重点区划分项目拟分配资金255万元。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另根据省相关要求，提取不超过2%（即7万元）作为专项资金工作经费，用于2024年度省级专项资金事中事后监管项目。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sz w:val="32"/>
          <w:lang w:val="en-US" w:eastAsia="zh-CN"/>
        </w:rPr>
        <w:t>四、固体废物与化学品污染防治类补助资金250万元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拟安排项</w:t>
      </w:r>
      <w:r>
        <w:rPr>
          <w:rFonts w:hint="eastAsia" w:ascii="Times New Roman" w:hAnsi="Times New Roman" w:eastAsia="仿宋_GB2312" w:cs="Times New Roman"/>
          <w:color w:val="auto"/>
          <w:sz w:val="32"/>
          <w:lang w:val="en-US" w:eastAsia="zh-CN"/>
        </w:rPr>
        <w:t>目3个</w:t>
      </w:r>
      <w:r>
        <w:rPr>
          <w:rFonts w:hint="eastAsia" w:eastAsia="仿宋_GB2312" w:cs="Times New Roman"/>
          <w:color w:val="auto"/>
          <w:sz w:val="32"/>
          <w:lang w:val="en-US" w:eastAsia="zh-CN"/>
        </w:rPr>
        <w:t>，</w:t>
      </w:r>
      <w:r>
        <w:rPr>
          <w:rFonts w:hint="eastAsia" w:ascii="Times New Roman" w:hAnsi="Times New Roman" w:eastAsia="仿宋_GB2312" w:cs="Times New Roman"/>
          <w:color w:val="auto"/>
          <w:sz w:val="32"/>
          <w:lang w:val="en-US" w:eastAsia="zh-CN"/>
        </w:rPr>
        <w:t>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（一）汕头市“无废细胞”创建及评估技术支撑项目拟分配资金50万元；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（二）</w:t>
      </w:r>
      <w:r>
        <w:rPr>
          <w:rFonts w:hint="eastAsia" w:ascii="仿宋_GB2312" w:hAnsi="仿宋_GB2312" w:eastAsia="仿宋_GB2312" w:cs="仿宋_GB2312"/>
          <w:color w:val="auto"/>
          <w:sz w:val="32"/>
          <w:szCs w:val="32"/>
          <w:highlight w:val="none"/>
        </w:rPr>
        <w:t>汕头市龙湖区龙腾街道“无废小镇”试点建设示范项目</w:t>
      </w:r>
      <w:r>
        <w:rPr>
          <w:rFonts w:hint="eastAsia" w:ascii="Times New Roman" w:hAnsi="Times New Roman" w:eastAsia="仿宋_GB2312" w:cs="Times New Roman"/>
          <w:color w:val="auto"/>
          <w:sz w:val="32"/>
          <w:lang w:val="en-US" w:eastAsia="zh-CN"/>
        </w:rPr>
        <w:t>拟分配资金146万元；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color w:val="auto"/>
          <w:sz w:val="32"/>
          <w:lang w:val="en-US" w:eastAsia="zh-CN"/>
        </w:rPr>
        <w:t>（三）汕</w:t>
      </w:r>
      <w:r>
        <w:rPr>
          <w:rFonts w:hint="eastAsia" w:ascii="Times New Roman" w:hAnsi="Times New Roman" w:eastAsia="仿宋_GB2312" w:cs="Times New Roman"/>
          <w:sz w:val="32"/>
          <w:lang w:val="en-US" w:eastAsia="zh-CN"/>
        </w:rPr>
        <w:t>头市化学物质环境信息统计调查技术服务项目拟分配资金49万元。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另根据省相关要求，提取不超过2%（即5万元）作为专项资金工作经费，用于2024年度省级专项资金事中事后监管项目。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五、生态环境监测补助资金355万元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拟安排项目3个，分别为：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（一）2024年汕头市农村生活污水处理设施出水水质抽测项目拟分配资金12万元；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（二）2024年汕头市重点排污单位自行监测及规模化养殖场抽测项目拟分配资金35万元。并按照实际工作量，将35万元资金分配到我局各区（县）分局，其中：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1.金平分局拟分配4.5万元；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2.龙湖分局拟分配4万元；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3.濠江分局拟分配2.4万元；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4.澄海分局拟分配7万元；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5.潮阳分局拟分配9.2万元；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6.潮南分局拟分配7.4万元；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7.南澳分局拟分配0.5万元。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（三）2024年汕头市生态环境区（县）监测站监测能力建设项目拟分配资金301万元，并按照实际工作量，将301万元资金分配到我局各区（县）分局，其中：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1.金平分局拟分配1.9万元；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2.龙湖分局拟分配1.9万元；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3.濠江分局拟分配1.9万元；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4.澄海分局拟分配19.9万元；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5.潮阳分局拟分配271.9万元；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6.潮南分局拟分配1.9万元；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7.南澳分局拟分配1.6万元。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另根据省相关要求，提取不超过2%（即7万元）作为专项资金工作经费，用于2024年度省级专项资金事中事后监管项目。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六、生态环境监管督查补助资金363万元，拟安排项目7个。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（一）生态环境宣传教育类拟分配资金金额100万元，安排项目1个，即2024年广东省提升公民生态文明意识工程汕头市行动计划项目拟分配资金98万元；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（二）生态环境执法和应急类分配资金金额263万元，安排项目6个，分别为：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1.2024年度汕头市生态环境监管执法能力提升项目拟分配资金78.5万元；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2.2024年汕头市重点污染源自动监控中心运行费项目拟分配资金65.5万元；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3.2024年汕头市生态环境应急能力提升与管理技术服务项目拟分配资金58万元；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4.韩江东溪（龙门关-仙美段）、榕江潮水溪突发水污染事件环境应急“南阳实践”项目拟分配资金20万元；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5.汕头市金平区生态环境保护综合行政执法装备标准化建设项目拟分配资金18万元；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6.汕头市生态环境局澄海分局行政执法机构规范化建设项目拟分配资金18万元。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另根据省相关要求，提取不超过2%（即7万元）作为专项资金工作经费，用于2024年度省级专项资金事中事后监管项目。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根据《广东省省级生态环境保护专项资金管理办法》，从6个方向各提取不超过2%项目资金（共计168万元）作为专项资金工作经费（包括事前项目库建设经费、事中事后经费）。其中汕头市2024年度省级财政专项资金项目库建设项目拟分配资金80万元，2024年度省级专项资金事中事后监管项目拟分配资金88万元。详见附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附表：</w:t>
      </w:r>
      <w:r>
        <w:rPr>
          <w:rFonts w:hint="eastAsia" w:ascii="仿宋_GB2312" w:hAnsi="仿宋_GB2312" w:eastAsia="仿宋_GB2312" w:cs="仿宋_GB2312"/>
          <w:color w:val="auto"/>
          <w:sz w:val="32"/>
          <w:szCs w:val="32"/>
          <w:lang w:eastAsia="zh-CN"/>
        </w:rPr>
        <w:t>汕头市生态环境局2024年省级打好污染防治攻坚战</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专项资金分配方案表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lang w:val="en-US" w:eastAsia="zh-CN"/>
        </w:rPr>
        <w:sectPr>
          <w:pgSz w:w="11906" w:h="16838"/>
          <w:pgMar w:top="2268" w:right="1417" w:bottom="1701" w:left="1701"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w:t>
      </w:r>
    </w:p>
    <w:p>
      <w:pPr>
        <w:pStyle w:val="2"/>
        <w:spacing w:after="0" w:line="600" w:lineRule="exact"/>
        <w:jc w:val="center"/>
        <w:rPr>
          <w:rFonts w:ascii="方正小标宋简体" w:hAnsi="华文中宋" w:eastAsia="方正小标宋简体"/>
          <w:b w:val="0"/>
          <w:bCs w:val="0"/>
          <w:color w:val="auto"/>
          <w:sz w:val="44"/>
          <w:szCs w:val="44"/>
          <w:highlight w:val="none"/>
        </w:rPr>
      </w:pPr>
      <w:r>
        <w:rPr>
          <w:rFonts w:hint="eastAsia" w:ascii="方正小标宋简体" w:hAnsi="华文中宋" w:eastAsia="方正小标宋简体"/>
          <w:b w:val="0"/>
          <w:bCs w:val="0"/>
          <w:color w:val="auto"/>
          <w:sz w:val="44"/>
          <w:szCs w:val="44"/>
          <w:highlight w:val="none"/>
        </w:rPr>
        <w:t>汕头市生态环境局2024年省级打好污染防治攻坚战专项资金分配方案表</w:t>
      </w:r>
    </w:p>
    <w:p>
      <w:pPr>
        <w:ind w:firstLine="420" w:firstLineChars="0"/>
        <w:rPr>
          <w:rFonts w:hint="eastAsia"/>
          <w:color w:val="auto"/>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986"/>
        <w:gridCol w:w="4449"/>
        <w:gridCol w:w="3080"/>
        <w:gridCol w:w="210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806" w:type="dxa"/>
            <w:vMerge w:val="restart"/>
            <w:noWrap w:val="0"/>
            <w:vAlign w:val="center"/>
          </w:tcPr>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政策任务</w:t>
            </w:r>
          </w:p>
        </w:tc>
        <w:tc>
          <w:tcPr>
            <w:tcW w:w="8515" w:type="dxa"/>
            <w:gridSpan w:val="3"/>
            <w:noWrap w:val="0"/>
            <w:vAlign w:val="center"/>
          </w:tcPr>
          <w:p>
            <w:pPr>
              <w:pStyle w:val="2"/>
              <w:spacing w:before="0" w:after="0" w:line="440" w:lineRule="exact"/>
              <w:jc w:val="center"/>
              <w:rPr>
                <w:rFonts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拟安排项目清单</w:t>
            </w:r>
          </w:p>
        </w:tc>
        <w:tc>
          <w:tcPr>
            <w:tcW w:w="2100" w:type="dxa"/>
            <w:vMerge w:val="restart"/>
            <w:noWrap w:val="0"/>
            <w:vAlign w:val="top"/>
          </w:tcPr>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拟安排资金</w:t>
            </w:r>
          </w:p>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（万元）</w:t>
            </w:r>
          </w:p>
        </w:tc>
        <w:tc>
          <w:tcPr>
            <w:tcW w:w="2362" w:type="dxa"/>
            <w:vMerge w:val="restart"/>
            <w:noWrap w:val="0"/>
            <w:vAlign w:val="center"/>
          </w:tcPr>
          <w:p>
            <w:pPr>
              <w:pStyle w:val="2"/>
              <w:spacing w:before="0" w:after="0" w:line="440" w:lineRule="exact"/>
              <w:jc w:val="center"/>
              <w:rPr>
                <w:rFonts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806" w:type="dxa"/>
            <w:vMerge w:val="continue"/>
            <w:noWrap w:val="0"/>
            <w:vAlign w:val="center"/>
          </w:tcPr>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p>
        </w:tc>
        <w:tc>
          <w:tcPr>
            <w:tcW w:w="986" w:type="dxa"/>
            <w:noWrap w:val="0"/>
            <w:vAlign w:val="center"/>
          </w:tcPr>
          <w:p>
            <w:pPr>
              <w:pStyle w:val="2"/>
              <w:spacing w:before="0" w:after="0" w:line="440" w:lineRule="exact"/>
              <w:jc w:val="center"/>
              <w:rPr>
                <w:rFonts w:hint="eastAsia"/>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序号</w:t>
            </w:r>
          </w:p>
        </w:tc>
        <w:tc>
          <w:tcPr>
            <w:tcW w:w="4449" w:type="dxa"/>
            <w:noWrap w:val="0"/>
            <w:vAlign w:val="center"/>
          </w:tcPr>
          <w:p>
            <w:pPr>
              <w:pStyle w:val="2"/>
              <w:spacing w:before="0" w:after="0" w:line="440" w:lineRule="exact"/>
              <w:jc w:val="center"/>
              <w:rPr>
                <w:rFonts w:hint="eastAsia"/>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项目名称</w:t>
            </w:r>
          </w:p>
        </w:tc>
        <w:tc>
          <w:tcPr>
            <w:tcW w:w="3080" w:type="dxa"/>
            <w:noWrap w:val="0"/>
            <w:vAlign w:val="center"/>
          </w:tcPr>
          <w:p>
            <w:pPr>
              <w:pStyle w:val="2"/>
              <w:spacing w:before="0" w:after="0" w:line="440" w:lineRule="exact"/>
              <w:jc w:val="center"/>
              <w:rPr>
                <w:rFonts w:hint="eastAsia"/>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项目单位</w:t>
            </w:r>
          </w:p>
        </w:tc>
        <w:tc>
          <w:tcPr>
            <w:tcW w:w="2100" w:type="dxa"/>
            <w:vMerge w:val="continue"/>
            <w:noWrap w:val="0"/>
            <w:vAlign w:val="top"/>
          </w:tcPr>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p>
        </w:tc>
        <w:tc>
          <w:tcPr>
            <w:tcW w:w="2362" w:type="dxa"/>
            <w:vMerge w:val="continue"/>
            <w:noWrap w:val="0"/>
            <w:vAlign w:val="top"/>
          </w:tcPr>
          <w:p>
            <w:pPr>
              <w:pStyle w:val="2"/>
              <w:spacing w:before="0" w:after="0" w:line="440" w:lineRule="exact"/>
              <w:jc w:val="center"/>
              <w:rPr>
                <w:rFonts w:hint="eastAsia" w:ascii="方正黑体简体" w:hAnsi="方正黑体简体" w:eastAsia="方正黑体简体" w:cs="方正黑体简体"/>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06" w:type="dxa"/>
            <w:vMerge w:val="restart"/>
            <w:noWrap w:val="0"/>
            <w:vAlign w:val="center"/>
          </w:tcPr>
          <w:p>
            <w:pPr>
              <w:pStyle w:val="2"/>
              <w:snapToGrid w:val="0"/>
              <w:spacing w:before="0" w:after="0" w:line="440" w:lineRule="exact"/>
              <w:jc w:val="center"/>
              <w:rPr>
                <w:rFonts w:ascii="Times New Roman" w:hAnsi="Times New Roman" w:eastAsia="仿宋_GB2312"/>
                <w:b w:val="0"/>
                <w:caps w:val="0"/>
                <w:color w:val="auto"/>
                <w:kern w:val="0"/>
                <w:sz w:val="28"/>
                <w:szCs w:val="28"/>
                <w:highlight w:val="none"/>
                <w:lang w:bidi="ar"/>
              </w:rPr>
            </w:pPr>
            <w:r>
              <w:rPr>
                <w:rFonts w:hint="eastAsia" w:ascii="Times New Roman" w:hAnsi="Times New Roman" w:eastAsia="仿宋_GB2312" w:cs="仿宋_GB2312"/>
                <w:b w:val="0"/>
                <w:bCs w:val="0"/>
                <w:caps w:val="0"/>
                <w:color w:val="auto"/>
                <w:sz w:val="28"/>
                <w:szCs w:val="28"/>
                <w:highlight w:val="none"/>
              </w:rPr>
              <w:t>水污染防治和省内外流域生态补偿</w:t>
            </w:r>
          </w:p>
        </w:tc>
        <w:tc>
          <w:tcPr>
            <w:tcW w:w="986" w:type="dxa"/>
            <w:noWrap w:val="0"/>
            <w:vAlign w:val="center"/>
          </w:tcPr>
          <w:p>
            <w:pPr>
              <w:widowControl/>
              <w:snapToGrid w:val="0"/>
              <w:spacing w:line="440" w:lineRule="exact"/>
              <w:jc w:val="center"/>
              <w:textAlignment w:val="center"/>
              <w:rPr>
                <w:rFonts w:eastAsia="仿宋_GB2312"/>
                <w:color w:val="auto"/>
                <w:sz w:val="28"/>
                <w:szCs w:val="28"/>
                <w:highlight w:val="none"/>
              </w:rPr>
            </w:pP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汕头市金平区梅溪河饮用水水源保护区围网升级改造及修缮工程</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汕头市生态环境局金平分局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110</w:t>
            </w:r>
          </w:p>
        </w:tc>
        <w:tc>
          <w:tcPr>
            <w:tcW w:w="2362" w:type="dxa"/>
            <w:vMerge w:val="restart"/>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提取不超过2%（即130万元）作为专项资金工作经费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汕头市南澳县饮用水源保护规范化建设项目实施方案</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汕头市生态环境局南澳分局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汕头市潮阳区谷饶镇练江流域总口截污关键点位雨污分流改造工程</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潮阳区谷饶镇人民政府</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580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汕头市玉鉴湖城市水体水质保障技术支撑项目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汕头市分散式农村生活污水治理设施智慧监管项目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550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6</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潮南区“源头截污、雨污分流”管网补缺工程</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汕头市潮南区城市管理和综合执法局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3900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汕头市澄海区入河排污口整治示范工程</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汕头市澄海区隆都镇人民政府</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970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widowControl/>
              <w:snapToGrid w:val="0"/>
              <w:spacing w:line="440" w:lineRule="exact"/>
              <w:jc w:val="center"/>
              <w:textAlignment w:val="center"/>
              <w:rPr>
                <w:rFonts w:hint="eastAsia" w:eastAsia="仿宋_GB2312" w:cs="仿宋_GB2312"/>
                <w:color w:val="auto"/>
                <w:kern w:val="0"/>
                <w:sz w:val="28"/>
                <w:szCs w:val="28"/>
                <w:highlight w:val="none"/>
                <w:lang w:bidi="ar"/>
              </w:rPr>
            </w:pPr>
          </w:p>
        </w:tc>
        <w:tc>
          <w:tcPr>
            <w:tcW w:w="8515" w:type="dxa"/>
            <w:gridSpan w:val="3"/>
            <w:noWrap w:val="0"/>
            <w:vAlign w:val="center"/>
          </w:tcPr>
          <w:p>
            <w:pPr>
              <w:widowControl/>
              <w:snapToGrid w:val="0"/>
              <w:spacing w:line="440" w:lineRule="exact"/>
              <w:jc w:val="right"/>
              <w:textAlignment w:val="center"/>
              <w:rPr>
                <w:rFonts w:eastAsia="仿宋_GB2312" w:cs="仿宋_GB2312"/>
                <w:color w:val="auto"/>
                <w:kern w:val="0"/>
                <w:sz w:val="28"/>
                <w:szCs w:val="28"/>
                <w:highlight w:val="none"/>
                <w:lang w:bidi="ar"/>
              </w:rPr>
            </w:pPr>
            <w:r>
              <w:rPr>
                <w:rFonts w:hint="eastAsia" w:eastAsia="仿宋_GB2312" w:cs="仿宋_GB2312"/>
                <w:color w:val="auto"/>
                <w:kern w:val="0"/>
                <w:sz w:val="28"/>
                <w:szCs w:val="28"/>
                <w:highlight w:val="none"/>
                <w:lang w:bidi="ar"/>
              </w:rPr>
              <w:t>政策任务小计</w:t>
            </w:r>
          </w:p>
        </w:tc>
        <w:tc>
          <w:tcPr>
            <w:tcW w:w="4462" w:type="dxa"/>
            <w:gridSpan w:val="2"/>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6510</w:t>
            </w:r>
            <w:r>
              <w:rPr>
                <w:rFonts w:hint="eastAsia" w:eastAsia="仿宋_GB2312"/>
                <w:color w:val="auto"/>
                <w:kern w:val="0"/>
                <w:sz w:val="28"/>
                <w:szCs w:val="28"/>
                <w:highlight w:val="none"/>
                <w:lang w:bidi="ar"/>
              </w:rPr>
              <w:t>（含130万</w:t>
            </w:r>
            <w:r>
              <w:rPr>
                <w:rFonts w:hint="eastAsia" w:ascii="仿宋_GB2312" w:hAnsi="仿宋_GB2312" w:eastAsia="仿宋_GB2312" w:cs="仿宋_GB2312"/>
                <w:color w:val="auto"/>
                <w:sz w:val="28"/>
                <w:szCs w:val="28"/>
                <w:highlight w:val="none"/>
              </w:rPr>
              <w:t>专项资金工作经费</w:t>
            </w:r>
            <w:r>
              <w:rPr>
                <w:rFonts w:hint="eastAsia" w:eastAsia="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restart"/>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大气污染防治与应对气候变化</w:t>
            </w:r>
          </w:p>
        </w:tc>
        <w:tc>
          <w:tcPr>
            <w:tcW w:w="986" w:type="dxa"/>
            <w:noWrap w:val="0"/>
            <w:vAlign w:val="center"/>
          </w:tcPr>
          <w:p>
            <w:pPr>
              <w:widowControl/>
              <w:snapToGrid w:val="0"/>
              <w:spacing w:line="440" w:lineRule="exact"/>
              <w:jc w:val="center"/>
              <w:textAlignment w:val="center"/>
              <w:rPr>
                <w:rFonts w:eastAsia="仿宋_GB2312"/>
                <w:color w:val="auto"/>
                <w:sz w:val="28"/>
                <w:szCs w:val="28"/>
                <w:highlight w:val="none"/>
              </w:rPr>
            </w:pP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Style w:val="6"/>
                <w:rFonts w:hint="default" w:ascii="Times New Roman" w:hAnsi="Times New Roman" w:eastAsia="仿宋_GB2312"/>
                <w:color w:val="auto"/>
                <w:highlight w:val="none"/>
                <w:lang w:bidi="ar"/>
              </w:rPr>
              <w:t>年汕头市</w:t>
            </w:r>
            <w:r>
              <w:rPr>
                <w:rFonts w:eastAsia="仿宋_GB2312"/>
                <w:color w:val="auto"/>
                <w:kern w:val="0"/>
                <w:sz w:val="28"/>
                <w:szCs w:val="28"/>
                <w:highlight w:val="none"/>
                <w:lang w:bidi="ar"/>
              </w:rPr>
              <w:t>“</w:t>
            </w:r>
            <w:r>
              <w:rPr>
                <w:rStyle w:val="6"/>
                <w:rFonts w:hint="default" w:ascii="Times New Roman" w:hAnsi="Times New Roman" w:eastAsia="仿宋_GB2312"/>
                <w:color w:val="auto"/>
                <w:highlight w:val="none"/>
                <w:lang w:bidi="ar"/>
              </w:rPr>
              <w:t>广东碳标签</w:t>
            </w:r>
            <w:r>
              <w:rPr>
                <w:rFonts w:eastAsia="仿宋_GB2312"/>
                <w:color w:val="auto"/>
                <w:kern w:val="0"/>
                <w:sz w:val="28"/>
                <w:szCs w:val="28"/>
                <w:highlight w:val="none"/>
                <w:lang w:bidi="ar"/>
              </w:rPr>
              <w:t>”</w:t>
            </w:r>
            <w:r>
              <w:rPr>
                <w:rStyle w:val="6"/>
                <w:rFonts w:hint="default" w:ascii="Times New Roman" w:hAnsi="Times New Roman" w:eastAsia="仿宋_GB2312"/>
                <w:color w:val="auto"/>
                <w:highlight w:val="none"/>
                <w:lang w:bidi="ar"/>
              </w:rPr>
              <w:t>碳足迹评估示范项目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eastAsia="仿宋_GB2312"/>
                <w:color w:val="auto"/>
                <w:sz w:val="28"/>
                <w:szCs w:val="28"/>
                <w:highlight w:val="none"/>
              </w:rPr>
            </w:pPr>
            <w:r>
              <w:rPr>
                <w:rFonts w:eastAsia="仿宋_GB2312"/>
                <w:color w:val="auto"/>
                <w:kern w:val="0"/>
                <w:sz w:val="28"/>
                <w:szCs w:val="28"/>
                <w:highlight w:val="none"/>
                <w:lang w:bidi="ar"/>
              </w:rPr>
              <w:t>88</w:t>
            </w:r>
          </w:p>
        </w:tc>
        <w:tc>
          <w:tcPr>
            <w:tcW w:w="2362" w:type="dxa"/>
            <w:vMerge w:val="restart"/>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提取不超过2%（即12万元）作为专项资金工作经费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广东骊虹包装有限公司挥发性有机物（VOCs）深度治理项目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广东骊虹包装有限公司</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73</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固定污染源VOCs执法检测能力提升项目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汕头市生态环境保护综合执法局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56</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Style w:val="7"/>
                <w:rFonts w:hint="default" w:ascii="Times New Roman" w:hAnsi="Times New Roman" w:eastAsia="仿宋_GB2312"/>
                <w:color w:val="auto"/>
                <w:highlight w:val="none"/>
                <w:lang w:bidi="ar"/>
              </w:rPr>
              <w:t>年汕头市空气质量保障及污染天气精细化管理项目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211</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汕头市2024年度移动源排气污染控制监督抽查项目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6</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汕头市噪声重点监控对象识别项目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124</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Style w:val="7"/>
                <w:rFonts w:hint="default" w:ascii="Times New Roman" w:hAnsi="Times New Roman" w:eastAsia="仿宋_GB2312"/>
                <w:color w:val="auto"/>
                <w:highlight w:val="none"/>
                <w:lang w:bidi="ar"/>
              </w:rPr>
              <w:t>年汕头市噪声污染精准管控项目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汕头市生态环境保护综合执法局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84</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8515" w:type="dxa"/>
            <w:gridSpan w:val="3"/>
            <w:noWrap w:val="0"/>
            <w:vAlign w:val="top"/>
          </w:tcPr>
          <w:p>
            <w:pPr>
              <w:widowControl/>
              <w:snapToGrid w:val="0"/>
              <w:spacing w:line="440" w:lineRule="exact"/>
              <w:jc w:val="right"/>
              <w:textAlignment w:val="center"/>
              <w:rPr>
                <w:rFonts w:eastAsia="仿宋_GB2312" w:cs="仿宋_GB2312"/>
                <w:color w:val="auto"/>
                <w:kern w:val="0"/>
                <w:sz w:val="28"/>
                <w:szCs w:val="28"/>
                <w:highlight w:val="none"/>
                <w:lang w:bidi="ar"/>
              </w:rPr>
            </w:pPr>
            <w:r>
              <w:rPr>
                <w:rFonts w:hint="eastAsia" w:eastAsia="仿宋_GB2312" w:cs="仿宋_GB2312"/>
                <w:color w:val="auto"/>
                <w:kern w:val="0"/>
                <w:sz w:val="28"/>
                <w:szCs w:val="28"/>
                <w:highlight w:val="none"/>
                <w:lang w:bidi="ar"/>
              </w:rPr>
              <w:t>政策任务小计</w:t>
            </w:r>
          </w:p>
        </w:tc>
        <w:tc>
          <w:tcPr>
            <w:tcW w:w="4462" w:type="dxa"/>
            <w:gridSpan w:val="2"/>
            <w:noWrap w:val="0"/>
            <w:vAlign w:val="top"/>
          </w:tcPr>
          <w:p>
            <w:pPr>
              <w:widowControl/>
              <w:snapToGrid w:val="0"/>
              <w:spacing w:line="440" w:lineRule="exact"/>
              <w:jc w:val="center"/>
              <w:textAlignment w:val="center"/>
              <w:rPr>
                <w:rFonts w:hint="eastAsia" w:eastAsia="仿宋_GB2312" w:cs="仿宋_GB2312"/>
                <w:color w:val="auto"/>
                <w:kern w:val="0"/>
                <w:sz w:val="28"/>
                <w:szCs w:val="28"/>
                <w:highlight w:val="none"/>
                <w:lang w:bidi="ar"/>
              </w:rPr>
            </w:pPr>
            <w:r>
              <w:rPr>
                <w:rFonts w:hint="eastAsia" w:eastAsia="仿宋_GB2312" w:cs="仿宋_GB2312"/>
                <w:color w:val="auto"/>
                <w:kern w:val="0"/>
                <w:sz w:val="28"/>
                <w:szCs w:val="28"/>
                <w:highlight w:val="none"/>
                <w:lang w:bidi="ar"/>
              </w:rPr>
              <w:t>688</w:t>
            </w:r>
            <w:r>
              <w:rPr>
                <w:rFonts w:hint="eastAsia" w:eastAsia="仿宋_GB2312"/>
                <w:color w:val="auto"/>
                <w:kern w:val="0"/>
                <w:sz w:val="28"/>
                <w:szCs w:val="28"/>
                <w:highlight w:val="none"/>
                <w:lang w:bidi="ar"/>
              </w:rPr>
              <w:t>（含12万</w:t>
            </w:r>
            <w:r>
              <w:rPr>
                <w:rFonts w:hint="eastAsia" w:ascii="仿宋_GB2312" w:hAnsi="仿宋_GB2312" w:eastAsia="仿宋_GB2312" w:cs="仿宋_GB2312"/>
                <w:color w:val="auto"/>
                <w:sz w:val="28"/>
                <w:szCs w:val="28"/>
                <w:highlight w:val="none"/>
              </w:rPr>
              <w:t>专项资金工作经费</w:t>
            </w:r>
            <w:r>
              <w:rPr>
                <w:rFonts w:hint="eastAsia" w:eastAsia="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806" w:type="dxa"/>
            <w:vMerge w:val="restart"/>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土壤和地下水污染防治</w:t>
            </w: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汕头市2024年土壤污染重点监管单位周边监测项目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95</w:t>
            </w:r>
          </w:p>
        </w:tc>
        <w:tc>
          <w:tcPr>
            <w:tcW w:w="2362" w:type="dxa"/>
            <w:vMerge w:val="restart"/>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提取不超过2%（即7万元）作为专项资金工作经费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汕头市地下水污染防治重点区划分项目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255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8515" w:type="dxa"/>
            <w:gridSpan w:val="3"/>
            <w:noWrap w:val="0"/>
            <w:vAlign w:val="center"/>
          </w:tcPr>
          <w:p>
            <w:pPr>
              <w:widowControl/>
              <w:snapToGrid w:val="0"/>
              <w:spacing w:line="440" w:lineRule="exact"/>
              <w:jc w:val="righ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政策任务小计</w:t>
            </w:r>
          </w:p>
        </w:tc>
        <w:tc>
          <w:tcPr>
            <w:tcW w:w="4462" w:type="dxa"/>
            <w:gridSpan w:val="2"/>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357</w:t>
            </w:r>
            <w:r>
              <w:rPr>
                <w:rFonts w:hint="eastAsia" w:eastAsia="仿宋_GB2312"/>
                <w:color w:val="auto"/>
                <w:kern w:val="0"/>
                <w:sz w:val="28"/>
                <w:szCs w:val="28"/>
                <w:highlight w:val="none"/>
                <w:lang w:bidi="ar"/>
              </w:rPr>
              <w:t>（含7万</w:t>
            </w:r>
            <w:r>
              <w:rPr>
                <w:rFonts w:hint="eastAsia" w:ascii="仿宋_GB2312" w:hAnsi="仿宋_GB2312" w:eastAsia="仿宋_GB2312" w:cs="仿宋_GB2312"/>
                <w:color w:val="auto"/>
                <w:sz w:val="28"/>
                <w:szCs w:val="28"/>
                <w:highlight w:val="none"/>
              </w:rPr>
              <w:t>专项资金工作经费</w:t>
            </w:r>
            <w:r>
              <w:rPr>
                <w:rFonts w:hint="eastAsia" w:eastAsia="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restart"/>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固体废物与化学品污染防治</w:t>
            </w:r>
          </w:p>
        </w:tc>
        <w:tc>
          <w:tcPr>
            <w:tcW w:w="986" w:type="dxa"/>
            <w:noWrap w:val="0"/>
            <w:vAlign w:val="center"/>
          </w:tcPr>
          <w:p>
            <w:pPr>
              <w:widowControl/>
              <w:snapToGrid w:val="0"/>
              <w:spacing w:line="440" w:lineRule="exact"/>
              <w:jc w:val="center"/>
              <w:textAlignment w:val="center"/>
              <w:rPr>
                <w:rFonts w:hint="eastAsia" w:eastAsia="仿宋_GB2312"/>
                <w:color w:val="auto"/>
                <w:kern w:val="0"/>
                <w:sz w:val="28"/>
                <w:szCs w:val="28"/>
                <w:highlight w:val="none"/>
                <w:lang w:val="en-US" w:eastAsia="zh-CN" w:bidi="ar"/>
              </w:rPr>
            </w:pPr>
            <w:r>
              <w:rPr>
                <w:rFonts w:hint="eastAsia" w:eastAsia="仿宋_GB2312"/>
                <w:color w:val="auto"/>
                <w:kern w:val="0"/>
                <w:sz w:val="28"/>
                <w:szCs w:val="28"/>
                <w:highlight w:val="none"/>
                <w:lang w:val="en-US" w:eastAsia="zh-CN" w:bidi="ar"/>
              </w:rPr>
              <w:t>1</w:t>
            </w:r>
          </w:p>
        </w:tc>
        <w:tc>
          <w:tcPr>
            <w:tcW w:w="4449" w:type="dxa"/>
            <w:noWrap w:val="0"/>
            <w:vAlign w:val="center"/>
          </w:tcPr>
          <w:p>
            <w:pPr>
              <w:widowControl/>
              <w:snapToGrid w:val="0"/>
              <w:spacing w:line="440" w:lineRule="exact"/>
              <w:textAlignment w:val="center"/>
              <w:rPr>
                <w:rFonts w:hint="eastAsia" w:eastAsia="仿宋_GB2312" w:cs="仿宋_GB2312"/>
                <w:color w:val="auto"/>
                <w:kern w:val="0"/>
                <w:sz w:val="28"/>
                <w:szCs w:val="28"/>
                <w:highlight w:val="none"/>
                <w:lang w:bidi="ar"/>
              </w:rPr>
            </w:pPr>
            <w:r>
              <w:rPr>
                <w:rFonts w:hint="eastAsia" w:eastAsia="仿宋_GB2312" w:cs="仿宋_GB2312"/>
                <w:color w:val="auto"/>
                <w:kern w:val="0"/>
                <w:sz w:val="28"/>
                <w:szCs w:val="28"/>
                <w:highlight w:val="none"/>
                <w:lang w:bidi="ar"/>
              </w:rPr>
              <w:t>汕头市“无废细胞”创建及评估技术支撑项目</w:t>
            </w:r>
          </w:p>
        </w:tc>
        <w:tc>
          <w:tcPr>
            <w:tcW w:w="3080" w:type="dxa"/>
            <w:noWrap w:val="0"/>
            <w:vAlign w:val="center"/>
          </w:tcPr>
          <w:p>
            <w:pPr>
              <w:widowControl/>
              <w:snapToGrid w:val="0"/>
              <w:spacing w:line="440" w:lineRule="exact"/>
              <w:textAlignment w:val="center"/>
              <w:rPr>
                <w:rFonts w:hint="eastAsia" w:eastAsia="仿宋_GB2312" w:cs="仿宋_GB2312"/>
                <w:color w:val="auto"/>
                <w:kern w:val="0"/>
                <w:sz w:val="28"/>
                <w:szCs w:val="28"/>
                <w:highlight w:val="none"/>
                <w:lang w:bidi="ar"/>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default" w:eastAsia="仿宋_GB2312"/>
                <w:color w:val="auto"/>
                <w:kern w:val="0"/>
                <w:sz w:val="28"/>
                <w:szCs w:val="28"/>
                <w:highlight w:val="none"/>
                <w:lang w:val="en-US" w:eastAsia="zh-CN" w:bidi="ar"/>
              </w:rPr>
            </w:pPr>
            <w:r>
              <w:rPr>
                <w:rFonts w:hint="eastAsia" w:eastAsia="仿宋_GB2312"/>
                <w:color w:val="auto"/>
                <w:kern w:val="0"/>
                <w:sz w:val="28"/>
                <w:szCs w:val="28"/>
                <w:highlight w:val="none"/>
                <w:lang w:val="en-US" w:eastAsia="zh-CN" w:bidi="ar"/>
              </w:rPr>
              <w:t>50</w:t>
            </w:r>
          </w:p>
        </w:tc>
        <w:tc>
          <w:tcPr>
            <w:tcW w:w="2362" w:type="dxa"/>
            <w:vMerge w:val="restart"/>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提取不超过2%（即5万元）作为专项资金工作经费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汕头市龙湖区龙腾街道“无废小镇”试点建设示范项目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汕头市龙湖区龙腾街道</w:t>
            </w:r>
          </w:p>
        </w:tc>
        <w:tc>
          <w:tcPr>
            <w:tcW w:w="2100" w:type="dxa"/>
            <w:noWrap w:val="0"/>
            <w:vAlign w:val="center"/>
          </w:tcPr>
          <w:p>
            <w:pPr>
              <w:widowControl/>
              <w:snapToGrid w:val="0"/>
              <w:spacing w:line="440" w:lineRule="exact"/>
              <w:jc w:val="center"/>
              <w:textAlignment w:val="center"/>
              <w:rPr>
                <w:rFonts w:hint="default" w:eastAsia="仿宋_GB2312"/>
                <w:color w:val="auto"/>
                <w:sz w:val="28"/>
                <w:szCs w:val="28"/>
                <w:highlight w:val="none"/>
                <w:lang w:val="en-US" w:eastAsia="zh-CN"/>
              </w:rPr>
            </w:pPr>
            <w:r>
              <w:rPr>
                <w:rFonts w:hint="eastAsia" w:eastAsia="仿宋_GB2312"/>
                <w:color w:val="auto"/>
                <w:kern w:val="0"/>
                <w:sz w:val="28"/>
                <w:szCs w:val="28"/>
                <w:highlight w:val="none"/>
                <w:lang w:val="en-US" w:eastAsia="zh-CN" w:bidi="ar"/>
              </w:rPr>
              <w:t>146</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lang w:eastAsia="zh-CN"/>
              </w:rPr>
            </w:pPr>
            <w:r>
              <w:rPr>
                <w:rFonts w:hint="eastAsia" w:eastAsia="仿宋_GB2312"/>
                <w:color w:val="auto"/>
                <w:kern w:val="0"/>
                <w:sz w:val="28"/>
                <w:szCs w:val="28"/>
                <w:highlight w:val="none"/>
                <w:lang w:val="en-US" w:eastAsia="zh-CN"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汕头市化学物质环境信息统计调查技术服务项目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8515" w:type="dxa"/>
            <w:gridSpan w:val="3"/>
            <w:noWrap w:val="0"/>
            <w:vAlign w:val="center"/>
          </w:tcPr>
          <w:p>
            <w:pPr>
              <w:widowControl/>
              <w:snapToGrid w:val="0"/>
              <w:spacing w:line="440" w:lineRule="exact"/>
              <w:jc w:val="righ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政策任务小计</w:t>
            </w:r>
          </w:p>
        </w:tc>
        <w:tc>
          <w:tcPr>
            <w:tcW w:w="4462" w:type="dxa"/>
            <w:gridSpan w:val="2"/>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250</w:t>
            </w:r>
            <w:r>
              <w:rPr>
                <w:rFonts w:hint="eastAsia" w:eastAsia="仿宋_GB2312"/>
                <w:color w:val="auto"/>
                <w:kern w:val="0"/>
                <w:sz w:val="28"/>
                <w:szCs w:val="28"/>
                <w:highlight w:val="none"/>
                <w:lang w:bidi="ar"/>
              </w:rPr>
              <w:t>（含5万</w:t>
            </w:r>
            <w:r>
              <w:rPr>
                <w:rFonts w:hint="eastAsia" w:ascii="仿宋_GB2312" w:hAnsi="仿宋_GB2312" w:eastAsia="仿宋_GB2312" w:cs="仿宋_GB2312"/>
                <w:color w:val="auto"/>
                <w:sz w:val="28"/>
                <w:szCs w:val="28"/>
                <w:highlight w:val="none"/>
              </w:rPr>
              <w:t>专项资金工作经费</w:t>
            </w:r>
            <w:r>
              <w:rPr>
                <w:rFonts w:hint="eastAsia" w:eastAsia="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restart"/>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生态环境监测</w:t>
            </w: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年汕头市农村生活污水处理设施出水水质抽测项目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12</w:t>
            </w:r>
          </w:p>
        </w:tc>
        <w:tc>
          <w:tcPr>
            <w:tcW w:w="2362" w:type="dxa"/>
            <w:vMerge w:val="restart"/>
            <w:noWrap w:val="0"/>
            <w:vAlign w:val="center"/>
          </w:tcPr>
          <w:p>
            <w:pPr>
              <w:widowControl/>
              <w:snapToGrid w:val="0"/>
              <w:spacing w:line="44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提取不超过2%（即7万元）作为专项资金工作经费</w:t>
            </w:r>
          </w:p>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汕头市生态环境局金平分局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汕头市生态环境局龙湖分局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4</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汕头市生态环境局濠江分局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2.4</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4</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汕头市生态环境局澄海分局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5</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汕头市生态环境局潮阳分局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9.2</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6</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汕头市生态环境局潮南分局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7.4</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7</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年汕头市重点排污单位自行监测及规模化养殖场抽测项目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汕头市生态环境局南澳分局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0.5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301</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汕头市生态环境局金平分局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汕头市生态环境局龙湖分局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汕头市生态环境局濠江分局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4</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汕头市生态环境局澄海分局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19.9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5</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汕头市生态环境局潮阳分局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271.9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6</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汕头市生态环境局潮南分局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1.9</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s="宋体"/>
                <w:color w:val="auto"/>
                <w:kern w:val="0"/>
                <w:sz w:val="28"/>
                <w:szCs w:val="28"/>
                <w:highlight w:val="none"/>
                <w:lang w:bidi="ar"/>
              </w:rPr>
              <w:t>子项</w:t>
            </w:r>
            <w:r>
              <w:rPr>
                <w:rFonts w:eastAsia="仿宋_GB2312"/>
                <w:color w:val="auto"/>
                <w:kern w:val="0"/>
                <w:sz w:val="28"/>
                <w:szCs w:val="28"/>
                <w:highlight w:val="none"/>
                <w:lang w:bidi="ar"/>
              </w:rPr>
              <w:t>7</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仿宋_GB2312"/>
                <w:color w:val="auto"/>
                <w:kern w:val="0"/>
                <w:sz w:val="28"/>
                <w:szCs w:val="28"/>
                <w:highlight w:val="none"/>
                <w:lang w:bidi="ar"/>
              </w:rPr>
              <w:t>年汕头市生态环境区（县）监测站监测能力建设项目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汕头市生态环境局南澳分局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1.6</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8515" w:type="dxa"/>
            <w:gridSpan w:val="3"/>
            <w:noWrap w:val="0"/>
            <w:vAlign w:val="center"/>
          </w:tcPr>
          <w:p>
            <w:pPr>
              <w:widowControl/>
              <w:snapToGrid w:val="0"/>
              <w:spacing w:line="440" w:lineRule="exact"/>
              <w:jc w:val="righ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政策任务小计</w:t>
            </w:r>
          </w:p>
        </w:tc>
        <w:tc>
          <w:tcPr>
            <w:tcW w:w="4462" w:type="dxa"/>
            <w:gridSpan w:val="2"/>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355</w:t>
            </w:r>
            <w:r>
              <w:rPr>
                <w:rFonts w:hint="eastAsia" w:eastAsia="仿宋_GB2312"/>
                <w:color w:val="auto"/>
                <w:kern w:val="0"/>
                <w:sz w:val="28"/>
                <w:szCs w:val="28"/>
                <w:highlight w:val="none"/>
                <w:lang w:bidi="ar"/>
              </w:rPr>
              <w:t>（含7万</w:t>
            </w:r>
            <w:r>
              <w:rPr>
                <w:rFonts w:hint="eastAsia" w:ascii="仿宋_GB2312" w:hAnsi="仿宋_GB2312" w:eastAsia="仿宋_GB2312" w:cs="仿宋_GB2312"/>
                <w:color w:val="auto"/>
                <w:sz w:val="28"/>
                <w:szCs w:val="28"/>
                <w:highlight w:val="none"/>
              </w:rPr>
              <w:t>专项资金工作经费</w:t>
            </w:r>
            <w:r>
              <w:rPr>
                <w:rFonts w:hint="eastAsia" w:eastAsia="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restart"/>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生态环境监管督查</w:t>
            </w:r>
          </w:p>
        </w:tc>
        <w:tc>
          <w:tcPr>
            <w:tcW w:w="986" w:type="dxa"/>
            <w:noWrap w:val="0"/>
            <w:vAlign w:val="center"/>
          </w:tcPr>
          <w:p>
            <w:pPr>
              <w:widowControl/>
              <w:snapToGrid w:val="0"/>
              <w:spacing w:line="440" w:lineRule="exact"/>
              <w:jc w:val="center"/>
              <w:textAlignment w:val="center"/>
              <w:rPr>
                <w:rFonts w:eastAsia="仿宋_GB2312"/>
                <w:color w:val="auto"/>
                <w:sz w:val="28"/>
                <w:szCs w:val="28"/>
                <w:highlight w:val="none"/>
              </w:rPr>
            </w:pPr>
            <w:r>
              <w:rPr>
                <w:rFonts w:eastAsia="仿宋_GB2312"/>
                <w:color w:val="auto"/>
                <w:kern w:val="0"/>
                <w:sz w:val="28"/>
                <w:szCs w:val="28"/>
                <w:highlight w:val="none"/>
                <w:lang w:bidi="ar"/>
              </w:rPr>
              <w:t>1</w:t>
            </w:r>
          </w:p>
        </w:tc>
        <w:tc>
          <w:tcPr>
            <w:tcW w:w="4449" w:type="dxa"/>
            <w:noWrap w:val="0"/>
            <w:vAlign w:val="center"/>
          </w:tcPr>
          <w:p>
            <w:pPr>
              <w:widowControl/>
              <w:snapToGrid w:val="0"/>
              <w:spacing w:line="440" w:lineRule="exact"/>
              <w:textAlignment w:val="center"/>
              <w:rPr>
                <w:rFonts w:eastAsia="仿宋_GB2312"/>
                <w:color w:val="auto"/>
                <w:sz w:val="28"/>
                <w:szCs w:val="28"/>
                <w:highlight w:val="none"/>
              </w:rPr>
            </w:pPr>
            <w:r>
              <w:rPr>
                <w:rFonts w:eastAsia="仿宋_GB2312"/>
                <w:color w:val="auto"/>
                <w:kern w:val="0"/>
                <w:sz w:val="28"/>
                <w:szCs w:val="28"/>
                <w:highlight w:val="none"/>
                <w:lang w:bidi="ar"/>
              </w:rPr>
              <w:t>2024</w:t>
            </w:r>
            <w:r>
              <w:rPr>
                <w:rStyle w:val="8"/>
                <w:rFonts w:hint="default" w:ascii="Times New Roman" w:hAnsi="Times New Roman" w:eastAsia="仿宋_GB2312"/>
                <w:color w:val="auto"/>
                <w:highlight w:val="none"/>
                <w:lang w:bidi="ar"/>
              </w:rPr>
              <w:t>年广东省提升公民生态文明意识工程汕头市行动计划项目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eastAsia="仿宋_GB2312"/>
                <w:color w:val="auto"/>
                <w:sz w:val="28"/>
                <w:szCs w:val="28"/>
                <w:highlight w:val="none"/>
              </w:rPr>
            </w:pPr>
            <w:r>
              <w:rPr>
                <w:rFonts w:eastAsia="仿宋_GB2312"/>
                <w:color w:val="auto"/>
                <w:kern w:val="0"/>
                <w:sz w:val="28"/>
                <w:szCs w:val="28"/>
                <w:highlight w:val="none"/>
                <w:lang w:bidi="ar"/>
              </w:rPr>
              <w:t>98</w:t>
            </w:r>
          </w:p>
        </w:tc>
        <w:tc>
          <w:tcPr>
            <w:tcW w:w="2362" w:type="dxa"/>
            <w:vMerge w:val="restart"/>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提取不超过2%（即7万元）作为专项资金工作经费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2</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年度汕头市生态环境监管执法能力提升项目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汕头市生态环境保护综合执法局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78.5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3</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年汕头市重点污染源自动监控中心运行费项目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汕头市生态环境保护综合执法局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65.5</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4</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2024</w:t>
            </w:r>
            <w:r>
              <w:rPr>
                <w:rFonts w:hint="eastAsia" w:eastAsia="仿宋_GB2312" w:cs="宋体"/>
                <w:color w:val="auto"/>
                <w:kern w:val="0"/>
                <w:sz w:val="28"/>
                <w:szCs w:val="28"/>
                <w:highlight w:val="none"/>
                <w:lang w:bidi="ar"/>
              </w:rPr>
              <w:t>年汕头市生态环境应急能力提升与管理技术服务项目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58</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5</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韩江东溪（龙门关-仙美段）、榕江潮水溪突发水污染事件环境应急“南阳实践”项目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20</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6</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汕头市金平区生态环境保护综合行政执法装备标准化建设项目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汕头市生态环境保护综合执法局金平分局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18</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986"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hint="eastAsia" w:eastAsia="仿宋_GB2312"/>
                <w:color w:val="auto"/>
                <w:kern w:val="0"/>
                <w:sz w:val="28"/>
                <w:szCs w:val="28"/>
                <w:highlight w:val="none"/>
                <w:lang w:bidi="ar"/>
              </w:rPr>
              <w:t>7</w:t>
            </w:r>
          </w:p>
        </w:tc>
        <w:tc>
          <w:tcPr>
            <w:tcW w:w="4449"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汕头市生态环境局澄海分局行政执法机构规范化建设项目</w:t>
            </w:r>
          </w:p>
        </w:tc>
        <w:tc>
          <w:tcPr>
            <w:tcW w:w="3080" w:type="dxa"/>
            <w:noWrap w:val="0"/>
            <w:vAlign w:val="center"/>
          </w:tcPr>
          <w:p>
            <w:pPr>
              <w:widowControl/>
              <w:snapToGrid w:val="0"/>
              <w:spacing w:line="440" w:lineRule="exact"/>
              <w:textAlignment w:val="center"/>
              <w:rPr>
                <w:rFonts w:hint="eastAsia" w:eastAsia="仿宋_GB2312"/>
                <w:color w:val="auto"/>
                <w:sz w:val="28"/>
                <w:szCs w:val="28"/>
                <w:highlight w:val="none"/>
              </w:rPr>
            </w:pPr>
            <w:r>
              <w:rPr>
                <w:rFonts w:hint="eastAsia" w:eastAsia="仿宋_GB2312" w:cs="仿宋_GB2312"/>
                <w:color w:val="auto"/>
                <w:kern w:val="0"/>
                <w:sz w:val="28"/>
                <w:szCs w:val="28"/>
                <w:highlight w:val="none"/>
                <w:lang w:bidi="ar"/>
              </w:rPr>
              <w:t>汕头市生态环境局澄海分局</w:t>
            </w:r>
          </w:p>
        </w:tc>
        <w:tc>
          <w:tcPr>
            <w:tcW w:w="2100" w:type="dxa"/>
            <w:noWrap w:val="0"/>
            <w:vAlign w:val="center"/>
          </w:tcPr>
          <w:p>
            <w:pPr>
              <w:widowControl/>
              <w:snapToGrid w:val="0"/>
              <w:spacing w:line="440" w:lineRule="exact"/>
              <w:jc w:val="center"/>
              <w:textAlignment w:val="center"/>
              <w:rPr>
                <w:rFonts w:hint="eastAsia" w:eastAsia="仿宋_GB2312"/>
                <w:color w:val="auto"/>
                <w:sz w:val="28"/>
                <w:szCs w:val="28"/>
                <w:highlight w:val="none"/>
              </w:rPr>
            </w:pPr>
            <w:r>
              <w:rPr>
                <w:rFonts w:eastAsia="仿宋_GB2312"/>
                <w:color w:val="auto"/>
                <w:kern w:val="0"/>
                <w:sz w:val="28"/>
                <w:szCs w:val="28"/>
                <w:highlight w:val="none"/>
                <w:lang w:bidi="ar"/>
              </w:rPr>
              <w:t>18</w:t>
            </w:r>
          </w:p>
        </w:tc>
        <w:tc>
          <w:tcPr>
            <w:tcW w:w="2362" w:type="dxa"/>
            <w:vMerge w:val="continue"/>
            <w:noWrap w:val="0"/>
            <w:vAlign w:val="center"/>
          </w:tcPr>
          <w:p>
            <w:pPr>
              <w:widowControl/>
              <w:snapToGrid w:val="0"/>
              <w:spacing w:line="440" w:lineRule="exact"/>
              <w:jc w:val="center"/>
              <w:textAlignment w:val="center"/>
              <w:rPr>
                <w:rFonts w:eastAsia="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vMerge w:val="continue"/>
            <w:noWrap w:val="0"/>
            <w:vAlign w:val="center"/>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p>
        </w:tc>
        <w:tc>
          <w:tcPr>
            <w:tcW w:w="8515" w:type="dxa"/>
            <w:gridSpan w:val="3"/>
            <w:noWrap w:val="0"/>
            <w:vAlign w:val="top"/>
          </w:tcPr>
          <w:p>
            <w:pPr>
              <w:pStyle w:val="2"/>
              <w:snapToGrid w:val="0"/>
              <w:spacing w:before="0" w:after="0" w:line="440" w:lineRule="exact"/>
              <w:jc w:val="right"/>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政策任务小计</w:t>
            </w:r>
          </w:p>
        </w:tc>
        <w:tc>
          <w:tcPr>
            <w:tcW w:w="4462" w:type="dxa"/>
            <w:gridSpan w:val="2"/>
            <w:noWrap w:val="0"/>
            <w:vAlign w:val="top"/>
          </w:tcPr>
          <w:p>
            <w:pPr>
              <w:pStyle w:val="2"/>
              <w:snapToGrid w:val="0"/>
              <w:spacing w:before="0" w:after="0" w:line="440" w:lineRule="exact"/>
              <w:jc w:val="center"/>
              <w:rPr>
                <w:rFonts w:hint="eastAsia" w:ascii="Times New Roman" w:hAnsi="Times New Roman" w:eastAsia="仿宋_GB2312"/>
                <w:b w:val="0"/>
                <w:caps w:val="0"/>
                <w:color w:val="auto"/>
                <w:sz w:val="28"/>
                <w:szCs w:val="28"/>
                <w:highlight w:val="none"/>
              </w:rPr>
            </w:pPr>
            <w:r>
              <w:rPr>
                <w:rFonts w:hint="eastAsia" w:ascii="Times New Roman" w:hAnsi="Times New Roman" w:eastAsia="仿宋_GB2312"/>
                <w:b w:val="0"/>
                <w:caps w:val="0"/>
                <w:color w:val="auto"/>
                <w:sz w:val="28"/>
                <w:szCs w:val="28"/>
                <w:highlight w:val="none"/>
              </w:rPr>
              <w:t>363</w:t>
            </w:r>
            <w:r>
              <w:rPr>
                <w:rFonts w:hint="eastAsia" w:ascii="Times New Roman" w:hAnsi="Times New Roman" w:eastAsia="仿宋_GB2312"/>
                <w:b w:val="0"/>
                <w:bCs w:val="0"/>
                <w:color w:val="auto"/>
                <w:kern w:val="0"/>
                <w:sz w:val="28"/>
                <w:szCs w:val="28"/>
                <w:highlight w:val="none"/>
                <w:lang w:bidi="ar"/>
              </w:rPr>
              <w:t>（含</w:t>
            </w:r>
            <w:r>
              <w:rPr>
                <w:rFonts w:hint="eastAsia" w:eastAsia="仿宋_GB2312"/>
                <w:b w:val="0"/>
                <w:bCs w:val="0"/>
                <w:color w:val="auto"/>
                <w:kern w:val="0"/>
                <w:sz w:val="28"/>
                <w:szCs w:val="28"/>
                <w:highlight w:val="none"/>
                <w:lang w:bidi="ar"/>
              </w:rPr>
              <w:t>7</w:t>
            </w:r>
            <w:r>
              <w:rPr>
                <w:rFonts w:hint="eastAsia" w:ascii="Times New Roman" w:hAnsi="Times New Roman" w:eastAsia="仿宋_GB2312"/>
                <w:b w:val="0"/>
                <w:bCs w:val="0"/>
                <w:color w:val="auto"/>
                <w:kern w:val="0"/>
                <w:sz w:val="28"/>
                <w:szCs w:val="28"/>
                <w:highlight w:val="none"/>
                <w:lang w:bidi="ar"/>
              </w:rPr>
              <w:t>万</w:t>
            </w:r>
            <w:r>
              <w:rPr>
                <w:rFonts w:hint="eastAsia" w:ascii="仿宋_GB2312" w:hAnsi="仿宋_GB2312" w:eastAsia="仿宋_GB2312" w:cs="仿宋_GB2312"/>
                <w:b w:val="0"/>
                <w:bCs w:val="0"/>
                <w:color w:val="auto"/>
                <w:sz w:val="28"/>
                <w:szCs w:val="28"/>
                <w:highlight w:val="none"/>
              </w:rPr>
              <w:t>专项资金工作经费</w:t>
            </w:r>
            <w:r>
              <w:rPr>
                <w:rFonts w:hint="eastAsia" w:ascii="Times New Roman" w:hAnsi="Times New Roman" w:eastAsia="仿宋_GB2312"/>
                <w:b w:val="0"/>
                <w:bCs w:val="0"/>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noWrap w:val="0"/>
            <w:vAlign w:val="center"/>
          </w:tcPr>
          <w:p>
            <w:pPr>
              <w:pStyle w:val="2"/>
              <w:snapToGrid w:val="0"/>
              <w:spacing w:before="0" w:after="0" w:line="440" w:lineRule="exact"/>
              <w:jc w:val="center"/>
              <w:rPr>
                <w:rFonts w:ascii="Times New Roman" w:hAnsi="Times New Roman" w:eastAsia="仿宋_GB2312"/>
                <w:bCs w:val="0"/>
                <w:caps w:val="0"/>
                <w:color w:val="auto"/>
                <w:sz w:val="28"/>
                <w:szCs w:val="28"/>
                <w:highlight w:val="none"/>
              </w:rPr>
            </w:pPr>
            <w:r>
              <w:rPr>
                <w:rFonts w:hint="eastAsia" w:ascii="Times New Roman" w:hAnsi="Times New Roman" w:eastAsia="仿宋_GB2312"/>
                <w:bCs w:val="0"/>
                <w:caps w:val="0"/>
                <w:color w:val="auto"/>
                <w:sz w:val="28"/>
                <w:szCs w:val="28"/>
                <w:highlight w:val="none"/>
              </w:rPr>
              <w:t>/</w:t>
            </w:r>
          </w:p>
        </w:tc>
        <w:tc>
          <w:tcPr>
            <w:tcW w:w="986" w:type="dxa"/>
            <w:noWrap w:val="0"/>
            <w:vAlign w:val="center"/>
          </w:tcPr>
          <w:p>
            <w:pPr>
              <w:widowControl/>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1</w:t>
            </w:r>
          </w:p>
        </w:tc>
        <w:tc>
          <w:tcPr>
            <w:tcW w:w="4449" w:type="dxa"/>
            <w:noWrap w:val="0"/>
            <w:vAlign w:val="center"/>
          </w:tcPr>
          <w:p>
            <w:pPr>
              <w:widowControl/>
              <w:spacing w:line="440" w:lineRule="exact"/>
              <w:jc w:val="lef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汕头市2024年度省级财政专项资金项目库建设项目</w:t>
            </w:r>
          </w:p>
        </w:tc>
        <w:tc>
          <w:tcPr>
            <w:tcW w:w="3080" w:type="dxa"/>
            <w:noWrap w:val="0"/>
            <w:vAlign w:val="center"/>
          </w:tcPr>
          <w:p>
            <w:pPr>
              <w:widowControl/>
              <w:spacing w:line="440" w:lineRule="exact"/>
              <w:jc w:val="lef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汕头市生态环境技术中心</w:t>
            </w:r>
          </w:p>
        </w:tc>
        <w:tc>
          <w:tcPr>
            <w:tcW w:w="2100" w:type="dxa"/>
            <w:noWrap w:val="0"/>
            <w:vAlign w:val="center"/>
          </w:tcPr>
          <w:p>
            <w:pPr>
              <w:widowControl/>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80</w:t>
            </w:r>
          </w:p>
        </w:tc>
        <w:tc>
          <w:tcPr>
            <w:tcW w:w="2362" w:type="dxa"/>
            <w:noWrap w:val="0"/>
            <w:vAlign w:val="top"/>
          </w:tcPr>
          <w:p>
            <w:pPr>
              <w:widowControl/>
              <w:spacing w:line="440" w:lineRule="exac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6" w:type="dxa"/>
            <w:noWrap w:val="0"/>
            <w:vAlign w:val="center"/>
          </w:tcPr>
          <w:p>
            <w:pPr>
              <w:pStyle w:val="2"/>
              <w:snapToGrid w:val="0"/>
              <w:spacing w:before="0" w:after="0" w:line="440" w:lineRule="exact"/>
              <w:jc w:val="center"/>
              <w:rPr>
                <w:rFonts w:ascii="Times New Roman" w:hAnsi="Times New Roman" w:eastAsia="仿宋_GB2312"/>
                <w:bCs w:val="0"/>
                <w:caps w:val="0"/>
                <w:color w:val="auto"/>
                <w:sz w:val="28"/>
                <w:szCs w:val="28"/>
                <w:highlight w:val="none"/>
              </w:rPr>
            </w:pPr>
            <w:r>
              <w:rPr>
                <w:rFonts w:hint="eastAsia" w:ascii="Times New Roman" w:hAnsi="Times New Roman" w:eastAsia="仿宋_GB2312"/>
                <w:bCs w:val="0"/>
                <w:caps w:val="0"/>
                <w:color w:val="auto"/>
                <w:sz w:val="28"/>
                <w:szCs w:val="28"/>
                <w:highlight w:val="none"/>
              </w:rPr>
              <w:t>/</w:t>
            </w:r>
          </w:p>
        </w:tc>
        <w:tc>
          <w:tcPr>
            <w:tcW w:w="986" w:type="dxa"/>
            <w:noWrap w:val="0"/>
            <w:vAlign w:val="center"/>
          </w:tcPr>
          <w:p>
            <w:pPr>
              <w:widowControl/>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2</w:t>
            </w:r>
          </w:p>
        </w:tc>
        <w:tc>
          <w:tcPr>
            <w:tcW w:w="4449" w:type="dxa"/>
            <w:noWrap w:val="0"/>
            <w:vAlign w:val="center"/>
          </w:tcPr>
          <w:p>
            <w:pPr>
              <w:widowControl/>
              <w:spacing w:line="440" w:lineRule="exact"/>
              <w:jc w:val="lef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2024年度省级专项资金事中事后监管项目</w:t>
            </w:r>
          </w:p>
        </w:tc>
        <w:tc>
          <w:tcPr>
            <w:tcW w:w="3080" w:type="dxa"/>
            <w:noWrap w:val="0"/>
            <w:vAlign w:val="center"/>
          </w:tcPr>
          <w:p>
            <w:pPr>
              <w:widowControl/>
              <w:spacing w:line="440" w:lineRule="exact"/>
              <w:jc w:val="lef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汕头市生态环境局</w:t>
            </w:r>
          </w:p>
        </w:tc>
        <w:tc>
          <w:tcPr>
            <w:tcW w:w="2100" w:type="dxa"/>
            <w:noWrap w:val="0"/>
            <w:vAlign w:val="center"/>
          </w:tcPr>
          <w:p>
            <w:pPr>
              <w:widowControl/>
              <w:spacing w:line="440" w:lineRule="exact"/>
              <w:jc w:val="center"/>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88</w:t>
            </w:r>
          </w:p>
        </w:tc>
        <w:tc>
          <w:tcPr>
            <w:tcW w:w="2362" w:type="dxa"/>
            <w:noWrap w:val="0"/>
            <w:vAlign w:val="top"/>
          </w:tcPr>
          <w:p>
            <w:pPr>
              <w:widowControl/>
              <w:spacing w:line="440" w:lineRule="exact"/>
              <w:textAlignment w:val="center"/>
              <w:rPr>
                <w:rFonts w:eastAsia="仿宋_GB2312"/>
                <w:color w:val="auto"/>
                <w:kern w:val="0"/>
                <w:sz w:val="28"/>
                <w:szCs w:val="28"/>
                <w:highlight w:val="none"/>
                <w:lang w:bidi="ar"/>
              </w:rPr>
            </w:pPr>
            <w:r>
              <w:rPr>
                <w:rFonts w:eastAsia="仿宋_GB2312"/>
                <w:color w:val="auto"/>
                <w:kern w:val="0"/>
                <w:sz w:val="28"/>
                <w:szCs w:val="28"/>
                <w:highlight w:val="none"/>
                <w:lang w:bidi="ar"/>
              </w:rPr>
              <w:t>专项资金工作经费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1" w:type="dxa"/>
            <w:gridSpan w:val="4"/>
            <w:noWrap w:val="0"/>
            <w:vAlign w:val="center"/>
          </w:tcPr>
          <w:p>
            <w:pPr>
              <w:pStyle w:val="2"/>
              <w:snapToGrid w:val="0"/>
              <w:spacing w:before="0" w:after="0" w:line="440" w:lineRule="exact"/>
              <w:jc w:val="right"/>
              <w:rPr>
                <w:rFonts w:hint="eastAsia" w:ascii="Times New Roman" w:hAnsi="Times New Roman" w:eastAsia="仿宋_GB2312"/>
                <w:bCs w:val="0"/>
                <w:caps w:val="0"/>
                <w:color w:val="auto"/>
                <w:sz w:val="28"/>
                <w:szCs w:val="28"/>
                <w:highlight w:val="none"/>
              </w:rPr>
            </w:pPr>
            <w:r>
              <w:rPr>
                <w:rFonts w:hint="eastAsia" w:ascii="Times New Roman" w:hAnsi="Times New Roman" w:eastAsia="仿宋_GB2312"/>
                <w:bCs w:val="0"/>
                <w:caps w:val="0"/>
                <w:color w:val="auto"/>
                <w:sz w:val="28"/>
                <w:szCs w:val="28"/>
                <w:highlight w:val="none"/>
              </w:rPr>
              <w:t>合计</w:t>
            </w:r>
          </w:p>
        </w:tc>
        <w:tc>
          <w:tcPr>
            <w:tcW w:w="2100" w:type="dxa"/>
            <w:noWrap w:val="0"/>
            <w:vAlign w:val="top"/>
          </w:tcPr>
          <w:p>
            <w:pPr>
              <w:pStyle w:val="2"/>
              <w:snapToGrid w:val="0"/>
              <w:spacing w:before="0" w:after="0" w:line="440" w:lineRule="exact"/>
              <w:jc w:val="center"/>
              <w:rPr>
                <w:rFonts w:hint="eastAsia" w:ascii="Times New Roman" w:hAnsi="Times New Roman" w:eastAsia="仿宋_GB2312"/>
                <w:bCs w:val="0"/>
                <w:caps w:val="0"/>
                <w:color w:val="auto"/>
                <w:sz w:val="28"/>
                <w:szCs w:val="28"/>
                <w:highlight w:val="none"/>
              </w:rPr>
            </w:pPr>
            <w:r>
              <w:rPr>
                <w:rFonts w:hint="eastAsia" w:ascii="Times New Roman" w:hAnsi="Times New Roman" w:eastAsia="仿宋_GB2312"/>
                <w:bCs w:val="0"/>
                <w:caps w:val="0"/>
                <w:color w:val="auto"/>
                <w:sz w:val="28"/>
                <w:szCs w:val="28"/>
                <w:highlight w:val="none"/>
              </w:rPr>
              <w:t>8523</w:t>
            </w:r>
          </w:p>
        </w:tc>
        <w:tc>
          <w:tcPr>
            <w:tcW w:w="2362" w:type="dxa"/>
            <w:noWrap w:val="0"/>
            <w:vAlign w:val="top"/>
          </w:tcPr>
          <w:p>
            <w:pPr>
              <w:pStyle w:val="2"/>
              <w:snapToGrid w:val="0"/>
              <w:spacing w:before="0" w:after="0" w:line="440" w:lineRule="exact"/>
              <w:jc w:val="center"/>
              <w:rPr>
                <w:rFonts w:hint="eastAsia" w:ascii="Times New Roman" w:hAnsi="Times New Roman" w:eastAsia="仿宋_GB2312"/>
                <w:bCs w:val="0"/>
                <w:cap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83" w:type="dxa"/>
            <w:gridSpan w:val="6"/>
            <w:noWrap w:val="0"/>
            <w:vAlign w:val="center"/>
          </w:tcPr>
          <w:p>
            <w:pPr>
              <w:snapToGrid w:val="0"/>
              <w:spacing w:line="440" w:lineRule="exact"/>
              <w:rPr>
                <w:rFonts w:hint="eastAsia" w:eastAsia="仿宋_GB2312"/>
                <w:color w:val="auto"/>
                <w:sz w:val="28"/>
                <w:szCs w:val="28"/>
                <w:highlight w:val="none"/>
              </w:rPr>
            </w:pPr>
            <w:r>
              <w:rPr>
                <w:rFonts w:hint="eastAsia" w:eastAsia="仿宋_GB2312"/>
                <w:color w:val="auto"/>
                <w:sz w:val="28"/>
                <w:szCs w:val="28"/>
                <w:highlight w:val="none"/>
              </w:rPr>
              <w:t>备注：</w:t>
            </w:r>
          </w:p>
          <w:p>
            <w:pPr>
              <w:snapToGrid w:val="0"/>
              <w:spacing w:line="440" w:lineRule="exact"/>
              <w:rPr>
                <w:rFonts w:eastAsia="仿宋_GB2312"/>
                <w:color w:val="auto"/>
                <w:sz w:val="28"/>
                <w:szCs w:val="28"/>
                <w:highlight w:val="none"/>
              </w:rPr>
            </w:pPr>
            <w:r>
              <w:rPr>
                <w:rFonts w:hint="eastAsia" w:eastAsia="仿宋_GB2312"/>
                <w:color w:val="auto"/>
                <w:sz w:val="28"/>
                <w:szCs w:val="28"/>
                <w:highlight w:val="none"/>
              </w:rPr>
              <w:t>1.共计8523万元，分为6类政策任务，共安排至</w:t>
            </w:r>
            <w:r>
              <w:rPr>
                <w:rFonts w:hint="eastAsia" w:eastAsia="仿宋_GB2312"/>
                <w:color w:val="auto"/>
                <w:sz w:val="28"/>
                <w:szCs w:val="28"/>
                <w:highlight w:val="none"/>
                <w:lang w:val="en-US" w:eastAsia="zh-CN"/>
              </w:rPr>
              <w:t>31</w:t>
            </w:r>
            <w:r>
              <w:rPr>
                <w:rFonts w:hint="eastAsia" w:eastAsia="仿宋_GB2312"/>
                <w:color w:val="auto"/>
                <w:sz w:val="28"/>
                <w:szCs w:val="28"/>
                <w:highlight w:val="none"/>
              </w:rPr>
              <w:t>个项目；</w:t>
            </w:r>
          </w:p>
          <w:p>
            <w:pPr>
              <w:pStyle w:val="2"/>
              <w:snapToGrid w:val="0"/>
              <w:spacing w:before="0" w:after="0" w:line="440" w:lineRule="exact"/>
              <w:rPr>
                <w:rFonts w:hint="eastAsia" w:ascii="Times New Roman" w:hAnsi="Times New Roman" w:eastAsia="仿宋_GB2312"/>
                <w:b w:val="0"/>
                <w:caps w:val="0"/>
                <w:color w:val="auto"/>
                <w:sz w:val="28"/>
                <w:szCs w:val="28"/>
                <w:highlight w:val="none"/>
              </w:rPr>
            </w:pPr>
            <w:r>
              <w:rPr>
                <w:rFonts w:hint="eastAsia" w:eastAsia="仿宋_GB2312"/>
                <w:b w:val="0"/>
                <w:caps w:val="0"/>
                <w:color w:val="auto"/>
                <w:sz w:val="28"/>
                <w:szCs w:val="28"/>
                <w:highlight w:val="none"/>
              </w:rPr>
              <w:t>2.</w:t>
            </w:r>
            <w:r>
              <w:rPr>
                <w:rFonts w:hint="eastAsia" w:ascii="Times New Roman" w:hAnsi="Times New Roman" w:eastAsia="仿宋_GB2312"/>
                <w:b w:val="0"/>
                <w:caps w:val="0"/>
                <w:color w:val="auto"/>
                <w:sz w:val="28"/>
                <w:szCs w:val="28"/>
                <w:highlight w:val="none"/>
              </w:rPr>
              <w:t>根据《广东省省级生态环境保护专项资金管理办法》，从6个方向各提取不超过2%项目资金（共计168万元）作为专项资金工作经费（包括事前项目库建设经费、事中事后经费）。其中汕头市2024年度省级财政专项资金项目库建设项目拟分配资金80万元，2024年度省级专项资金事中事后监管项目拟分配资金88万元。</w:t>
            </w:r>
          </w:p>
        </w:tc>
      </w:tr>
    </w:tbl>
    <w:p>
      <w:bookmarkStart w:id="0" w:name="_GoBack"/>
      <w:bookmarkEnd w:id="0"/>
    </w:p>
    <w:sectPr>
      <w:pgSz w:w="16838" w:h="11906" w:orient="landscape"/>
      <w:pgMar w:top="1701" w:right="2268"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78FE"/>
    <w:rsid w:val="188C78FE"/>
    <w:rsid w:val="5BB1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Body Text"/>
    <w:basedOn w:val="1"/>
    <w:qFormat/>
    <w:uiPriority w:val="0"/>
    <w:pPr>
      <w:spacing w:after="120"/>
    </w:pPr>
  </w:style>
  <w:style w:type="character" w:customStyle="1" w:styleId="6">
    <w:name w:val="font61"/>
    <w:qFormat/>
    <w:uiPriority w:val="0"/>
    <w:rPr>
      <w:rFonts w:hint="eastAsia" w:ascii="宋体" w:hAnsi="宋体" w:eastAsia="宋体" w:cs="宋体"/>
      <w:color w:val="000000"/>
      <w:sz w:val="28"/>
      <w:szCs w:val="28"/>
      <w:u w:val="none"/>
    </w:rPr>
  </w:style>
  <w:style w:type="character" w:customStyle="1" w:styleId="7">
    <w:name w:val="font71"/>
    <w:qFormat/>
    <w:uiPriority w:val="0"/>
    <w:rPr>
      <w:rFonts w:hint="eastAsia" w:ascii="宋体" w:hAnsi="宋体" w:eastAsia="宋体" w:cs="宋体"/>
      <w:color w:val="000000"/>
      <w:sz w:val="28"/>
      <w:szCs w:val="28"/>
      <w:u w:val="none"/>
    </w:rPr>
  </w:style>
  <w:style w:type="character" w:customStyle="1" w:styleId="8">
    <w:name w:val="font4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2023-12-24T09:32:00Z</dcterms:created>
  <dc:creator>user</dc:creator>
  <cp:lastModifiedBy>user</cp:lastModifiedBy>
  <dcterms:modified xsi:type="dcterms:W3CDTF">2023-12-24T09:39:22Z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0EBB2B7EFFF74C16B28972FF664C8D41</vt:lpwstr>
  </property>
</Properties>
</file>