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</w:t>
      </w:r>
      <w:bookmarkStart w:id="0" w:name="_Hlk151623922"/>
      <w:r>
        <w:rPr>
          <w:rFonts w:hint="eastAsia" w:ascii="黑体" w:hAnsi="黑体" w:eastAsia="黑体"/>
          <w:b/>
          <w:bCs/>
          <w:sz w:val="32"/>
          <w:szCs w:val="32"/>
        </w:rPr>
        <w:t>汕头市龙湖现代产业园西南片控制性详细规划（LH-019编制单元）</w:t>
      </w:r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》简介</w:t>
      </w:r>
    </w:p>
    <w:p>
      <w:pPr>
        <w:pStyle w:val="4"/>
        <w:keepNext w:val="0"/>
        <w:keepLines w:val="0"/>
        <w:pageBreakBefore w:val="0"/>
        <w:widowControl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-482" w:leftChars="0" w:firstLine="482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规划范围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Chars="0" w:firstLine="420" w:firstLineChars="200"/>
        <w:textAlignment w:val="auto"/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本次规划范围为：东至海灰涵线渠、西至东兴路、南至滨砂路、北至规划东直路。用地面积为181.65 公顷。</w:t>
      </w:r>
    </w:p>
    <w:p>
      <w:pPr>
        <w:pStyle w:val="4"/>
        <w:keepNext w:val="0"/>
        <w:keepLines w:val="0"/>
        <w:pageBreakBefore w:val="0"/>
        <w:widowControl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-482" w:leftChars="0" w:firstLine="482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规划定位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Chars="0" w:firstLine="420" w:firstLineChars="200"/>
        <w:textAlignment w:val="auto"/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片区规划定位为科技成果转化高地和产业承载腹地，粤东区域的创新高地和产业转型的新引擎。</w:t>
      </w:r>
    </w:p>
    <w:p>
      <w:pPr>
        <w:pStyle w:val="4"/>
        <w:keepNext w:val="0"/>
        <w:keepLines w:val="0"/>
        <w:pageBreakBefore w:val="0"/>
        <w:widowControl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-482" w:leftChars="0" w:firstLine="482"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功能布局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规划区整体按照工业园区进行规划，布置工业用地，南侧保留现状村庄和农田，通过城市主干路建设引导片区的发展，盘活城市道路两侧用地，带动园区的开发建设。</w:t>
      </w:r>
    </w:p>
    <w:p>
      <w:pPr>
        <w:pStyle w:val="4"/>
        <w:keepNext w:val="0"/>
        <w:keepLines w:val="0"/>
        <w:pageBreakBefore w:val="0"/>
        <w:widowControl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left="-482" w:leftChars="0" w:firstLine="482" w:firstLine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发展规模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  <w:lang w:val="en-US" w:eastAsia="zh-CN" w:bidi="ar-SA"/>
        </w:rPr>
        <w:t>法定规划区总用地面积181.65公顷，其中建设用地143.36公顷。规划工业用地85.22公顷。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4"/>
      <w:lvlText w:val="第%1条"/>
      <w:lvlJc w:val="left"/>
      <w:pPr>
        <w:tabs>
          <w:tab w:val="left" w:pos="1134"/>
        </w:tabs>
        <w:ind w:left="-482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298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778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1573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16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03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4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28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2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OWYwNGU3YzhjMDcyNDViODRjNjIxMzUzYjAyNmUifQ=="/>
  </w:docVars>
  <w:rsids>
    <w:rsidRoot w:val="00E60CF0"/>
    <w:rsid w:val="000C2AD7"/>
    <w:rsid w:val="005325AC"/>
    <w:rsid w:val="00884B51"/>
    <w:rsid w:val="00B07298"/>
    <w:rsid w:val="00BE1B6E"/>
    <w:rsid w:val="00D65F33"/>
    <w:rsid w:val="00DB165A"/>
    <w:rsid w:val="00E60CF0"/>
    <w:rsid w:val="06CA1688"/>
    <w:rsid w:val="101117BF"/>
    <w:rsid w:val="1BF831BE"/>
    <w:rsid w:val="3FB01EAB"/>
    <w:rsid w:val="4FD65CC5"/>
    <w:rsid w:val="785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条文"/>
    <w:next w:val="5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">
    <w:name w:val="文本正文"/>
    <w:basedOn w:val="4"/>
    <w:qFormat/>
    <w:uiPriority w:val="99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12</TotalTime>
  <ScaleCrop>false</ScaleCrop>
  <LinksUpToDate>false</LinksUpToDate>
  <CharactersWithSpaces>367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admin</dc:creator>
  <cp:lastModifiedBy>ynnb</cp:lastModifiedBy>
  <dcterms:modified xsi:type="dcterms:W3CDTF">2023-12-13T01:42:10Z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E08DA46902BB4F9C91657A673116C16E_12</vt:lpwstr>
  </property>
</Properties>
</file>