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t>65.150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t>B 52</w:t>
            </w:r>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rFonts w:hint="eastAsia"/>
              </w:rPr>
              <w:t>4405</w:t>
            </w:r>
          </w:p>
        </w:tc>
      </w:tr>
    </w:tbl>
    <w:p>
      <w:pPr>
        <w:pStyle w:val="53"/>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汕头市</w:t>
      </w:r>
      <w:r>
        <w:rPr>
          <w:rFonts w:hint="eastAsia" w:ascii="黑体" w:hAnsi="黑体" w:eastAsia="黑体"/>
          <w:b w:val="0"/>
          <w:bCs w:val="0"/>
          <w:w w:val="100"/>
          <w:sz w:val="48"/>
          <w:szCs w:val="48"/>
        </w:rPr>
        <w:t>地方标准</w:t>
      </w:r>
    </w:p>
    <w:bookmarkEnd w:id="0"/>
    <w:p>
      <w:pPr>
        <w:pStyle w:val="198"/>
        <w:rPr>
          <w:lang w:val="fr-FR"/>
        </w:rPr>
      </w:pPr>
      <w:r>
        <w:rPr>
          <w:lang w:val="fr-FR"/>
        </w:rPr>
        <w:t>DB</w:t>
      </w:r>
      <w:r>
        <w:fldChar w:fldCharType="begin">
          <w:ffData>
            <w:name w:val="文字1"/>
            <w:enabled/>
            <w:calcOnExit w:val="0"/>
            <w:textInput>
              <w:default w:val="XX/T"/>
            </w:textInput>
          </w:ffData>
        </w:fldChar>
      </w:r>
      <w:bookmarkStart w:id="1" w:name="文字1"/>
      <w:r>
        <w:rPr>
          <w:lang w:val="fr-FR"/>
        </w:rPr>
        <w:instrText xml:space="preserve"> FORMTEXT </w:instrText>
      </w:r>
      <w:r>
        <w:fldChar w:fldCharType="separate"/>
      </w:r>
      <w:r>
        <w:t>44</w:t>
      </w:r>
      <w:r>
        <w:rPr>
          <w:rFonts w:hint="eastAsia"/>
        </w:rPr>
        <w:t>05</w:t>
      </w:r>
      <w:r>
        <w:rPr>
          <w:lang w:val="fr-FR"/>
        </w:rPr>
        <w:t>/T</w:t>
      </w:r>
      <w:r>
        <w:fldChar w:fldCharType="end"/>
      </w:r>
      <w:bookmarkEnd w:id="1"/>
      <w:r>
        <w:rPr>
          <w:lang w:val="fr-FR"/>
        </w:rPr>
        <w:t xml:space="preserve"> </w:t>
      </w:r>
      <w:r>
        <w:fldChar w:fldCharType="begin">
          <w:ffData>
            <w:name w:val="NSTD_CODE_F"/>
            <w:enabled/>
            <w:calcOnExit w:val="0"/>
            <w:textInput>
              <w:default w:val="XXXX"/>
            </w:textInput>
          </w:ffData>
        </w:fldChar>
      </w:r>
      <w:bookmarkStart w:id="2" w:name="NSTD_CODE_F"/>
      <w:r>
        <w:rPr>
          <w:lang w:val="fr-FR"/>
        </w:rPr>
        <w:instrText xml:space="preserve"> FORMTEXT </w:instrText>
      </w:r>
      <w:r>
        <w:fldChar w:fldCharType="separate"/>
      </w:r>
      <w:r>
        <w:t>XXXX</w:t>
      </w:r>
      <w:r>
        <w:fldChar w:fldCharType="end"/>
      </w:r>
      <w:bookmarkEnd w:id="2"/>
      <w:r>
        <w:rPr>
          <w:rFonts w:hAnsi="黑体"/>
          <w:lang w:val="fr-FR"/>
        </w:rPr>
        <w:t>—</w:t>
      </w:r>
      <w:r>
        <w:fldChar w:fldCharType="begin">
          <w:ffData>
            <w:name w:val="NSTD_CODE_B"/>
            <w:enabled/>
            <w:calcOnExit w:val="0"/>
            <w:textInput>
              <w:default w:val="XXXX"/>
            </w:textInput>
          </w:ffData>
        </w:fldChar>
      </w:r>
      <w:bookmarkStart w:id="3" w:name="NSTD_CODE_B"/>
      <w:r>
        <w:rPr>
          <w:lang w:val="fr-FR"/>
        </w:rPr>
        <w:instrText xml:space="preserve"> FORMTEXT </w:instrText>
      </w:r>
      <w:r>
        <w:fldChar w:fldCharType="separate"/>
      </w:r>
      <w:r>
        <w:rPr>
          <w:lang w:val="fr-FR"/>
        </w:rPr>
        <w:t>XXXX</w:t>
      </w:r>
      <w:r>
        <w:fldChar w:fldCharType="end"/>
      </w:r>
      <w:bookmarkEnd w:id="3"/>
    </w:p>
    <w:p>
      <w:pPr>
        <w:pStyle w:val="199"/>
        <w:rPr>
          <w:rFonts w:hAnsi="黑体"/>
        </w:rPr>
      </w:pPr>
      <w:r>
        <w:rPr>
          <w:rFonts w:hAnsi="黑体"/>
        </w:rPr>
        <w:fldChar w:fldCharType="begin">
          <w:ffData>
            <w:name w:val="OSTD_CODE"/>
            <w:enabled/>
            <w:calcOnExit w:val="0"/>
            <w:textInput/>
          </w:ffData>
        </w:fldChar>
      </w:r>
      <w:bookmarkStart w:id="4"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4"/>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rPr>
          <w:rFonts w:hint="eastAsia"/>
        </w:rPr>
        <w:t xml:space="preserve"> 罗氏沼虾生态混养技术规程</w:t>
      </w:r>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eastAsia="黑体"/>
          <w:szCs w:val="28"/>
        </w:rPr>
      </w:pPr>
      <w:r>
        <w:rPr>
          <w:rFonts w:hint="eastAsia" w:eastAsia="黑体"/>
          <w:szCs w:val="28"/>
        </w:rPr>
        <w:t>Technical regulations for ecological hybrid cultivation of Macrobrachium rosenbergii</w:t>
      </w:r>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rFonts w:hint="eastAsia"/>
          <w:sz w:val="24"/>
          <w:szCs w:val="28"/>
        </w:rPr>
        <w:t>(报批稿）</w:t>
      </w:r>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5" w:name="CMPLSH_DATE"/>
      <w:r>
        <w:rPr>
          <w:sz w:val="21"/>
          <w:szCs w:val="28"/>
        </w:rPr>
        <w:instrText xml:space="preserve"> FORMTEXT </w:instrText>
      </w:r>
      <w:r>
        <w:rPr>
          <w:sz w:val="21"/>
          <w:szCs w:val="28"/>
        </w:rPr>
        <w:fldChar w:fldCharType="separate"/>
      </w:r>
      <w:r>
        <w:rPr>
          <w:rFonts w:hint="eastAsia"/>
          <w:sz w:val="21"/>
          <w:szCs w:val="28"/>
        </w:rPr>
        <w:t>（本草案完成时间：2023.10.23）</w:t>
      </w:r>
      <w:r>
        <w:rPr>
          <w:sz w:val="21"/>
          <w:szCs w:val="28"/>
        </w:rPr>
        <w:fldChar w:fldCharType="end"/>
      </w:r>
      <w:bookmarkEnd w:id="5"/>
    </w:p>
    <w:p>
      <w:pPr>
        <w:pStyle w:val="128"/>
        <w:framePr w:w="9639" w:h="6974" w:hRule="exact" w:wrap="around" w:vAnchor="page" w:hAnchor="page" w:x="1419" w:y="6408" w:anchorLock="1"/>
        <w:spacing w:before="720" w:beforeLines="300" w:after="72" w:afterLines="30" w:line="240" w:lineRule="auto"/>
        <w:textAlignment w:val="bottom"/>
        <w:rPr>
          <w:b/>
          <w:sz w:val="21"/>
          <w:szCs w:val="28"/>
        </w:rPr>
      </w:pPr>
      <w:bookmarkStart w:id="6" w:name="下拉2"/>
      <w:r>
        <w:rPr>
          <w:rFonts w:ascii="Times New Roman" w:hAnsi="Times New Roman" w:eastAsia="宋体" w:cs="Times New Roman"/>
          <w:b/>
          <w:sz w:val="21"/>
          <w:szCs w:val="28"/>
          <w:lang w:val="en-US" w:eastAsia="zh-CN" w:bidi="ar-SA"/>
        </w:rPr>
        <w:fldChar w:fldCharType="begin">
          <w:ffData>
            <w:name w:val="下拉2"/>
            <w:enabled/>
            <w:calcOnExit w:val="0"/>
            <w:ddList/>
          </w:ffData>
        </w:fldChar>
      </w:r>
      <w:r>
        <w:rPr>
          <w:rFonts w:ascii="Times New Roman" w:hAnsi="Times New Roman" w:eastAsia="宋体" w:cs="Times New Roman"/>
          <w:b/>
          <w:sz w:val="21"/>
          <w:szCs w:val="28"/>
          <w:lang w:val="en-US" w:eastAsia="zh-CN" w:bidi="ar-SA"/>
        </w:rPr>
        <w:instrText xml:space="preserve">FORMDROPDOWN</w:instrText>
      </w:r>
      <w:r>
        <w:rPr>
          <w:rFonts w:ascii="Times New Roman" w:hAnsi="Times New Roman" w:eastAsia="宋体" w:cs="Times New Roman"/>
          <w:b/>
          <w:sz w:val="21"/>
          <w:szCs w:val="28"/>
          <w:lang w:val="en-US" w:eastAsia="zh-CN" w:bidi="ar-SA"/>
        </w:rPr>
        <w:fldChar w:fldCharType="separate"/>
      </w:r>
      <w:r>
        <w:rPr>
          <w:rFonts w:ascii="Times New Roman" w:hAnsi="Times New Roman" w:eastAsia="宋体" w:cs="Times New Roman"/>
          <w:b/>
          <w:sz w:val="21"/>
          <w:szCs w:val="28"/>
          <w:lang w:val="en-US" w:eastAsia="zh-CN" w:bidi="ar-SA"/>
        </w:rPr>
        <w:fldChar w:fldCharType="end"/>
      </w:r>
      <w:bookmarkEnd w:id="6"/>
    </w:p>
    <w:p>
      <w:pPr>
        <w:pStyle w:val="196"/>
        <w:framePr w:wrap="around" w:y="14176"/>
      </w:pPr>
      <w:r>
        <w:rPr>
          <w:rFonts w:ascii="黑体"/>
        </w:rPr>
        <w:fldChar w:fldCharType="begin">
          <w:ffData>
            <w:name w:val="PLSH_DATE_Y"/>
            <w:enabled/>
            <w:calcOnExit w:val="0"/>
            <w:textInput>
              <w:default w:val="XXXX"/>
              <w:maxLength w:val="4"/>
            </w:textInput>
          </w:ffData>
        </w:fldChar>
      </w:r>
      <w:bookmarkStart w:id="7"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8"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9"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0"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1"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2"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实施</w:t>
      </w:r>
    </w:p>
    <w:p>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3" w:name="fm"/>
      <w:r>
        <w:rPr>
          <w:rFonts w:hAnsi="黑体"/>
          <w:w w:val="100"/>
          <w:sz w:val="28"/>
        </w:rPr>
        <w:instrText xml:space="preserve"> FORMTEXT </w:instrText>
      </w:r>
      <w:r>
        <w:rPr>
          <w:rFonts w:hAnsi="黑体"/>
          <w:w w:val="100"/>
          <w:sz w:val="28"/>
        </w:rPr>
        <w:fldChar w:fldCharType="separate"/>
      </w:r>
      <w:r>
        <w:rPr>
          <w:rFonts w:hint="eastAsia" w:hAnsi="黑体"/>
          <w:w w:val="100"/>
          <w:sz w:val="28"/>
        </w:rPr>
        <w:t>汕头市市场</w:t>
      </w:r>
      <w:r>
        <w:rPr>
          <w:rFonts w:hAnsi="黑体"/>
          <w:w w:val="100"/>
          <w:sz w:val="28"/>
        </w:rPr>
        <w:t>监督管理局</w:t>
      </w:r>
      <w:r>
        <w:rPr>
          <w:rFonts w:hAnsi="黑体"/>
          <w:w w:val="100"/>
          <w:sz w:val="28"/>
        </w:rPr>
        <w:fldChar w:fldCharType="end"/>
      </w:r>
      <w:bookmarkEnd w:id="13"/>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4"/>
        <w:spacing w:after="468"/>
      </w:pPr>
      <w:bookmarkStart w:id="14" w:name="BookMark1"/>
      <w:bookmarkStart w:id="15" w:name="_Toc146104066"/>
      <w:bookmarkStart w:id="16" w:name="_Toc146120198"/>
      <w:bookmarkStart w:id="17" w:name="_Toc148440174"/>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"_Toc148468719" </w:instrText>
      </w:r>
      <w:r>
        <w:fldChar w:fldCharType="separate"/>
      </w:r>
      <w:r>
        <w:rPr>
          <w:rStyle w:val="34"/>
          <w:rFonts w:hint="eastAsia"/>
        </w:rPr>
        <w:t>前言</w:t>
      </w:r>
      <w:r>
        <w:tab/>
      </w:r>
      <w:r>
        <w:fldChar w:fldCharType="begin"/>
      </w:r>
      <w:r>
        <w:instrText xml:space="preserve"> PAGEREF _Toc148468719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"_Toc148468720" </w:instrText>
      </w:r>
      <w:r>
        <w:fldChar w:fldCharType="separate"/>
      </w:r>
      <w:r>
        <w:rPr>
          <w:rStyle w:val="34"/>
        </w:rPr>
        <w:t xml:space="preserve">1 </w:t>
      </w:r>
      <w:r>
        <w:rPr>
          <w:rStyle w:val="34"/>
          <w:rFonts w:hint="eastAsia"/>
        </w:rPr>
        <w:t xml:space="preserve"> 范围</w:t>
      </w:r>
      <w:r>
        <w:tab/>
      </w:r>
      <w:r>
        <w:fldChar w:fldCharType="begin"/>
      </w:r>
      <w:r>
        <w:instrText xml:space="preserve"> PAGEREF _Toc148468720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"_Toc148468721" </w:instrText>
      </w:r>
      <w:r>
        <w:fldChar w:fldCharType="separate"/>
      </w:r>
      <w:r>
        <w:rPr>
          <w:rStyle w:val="34"/>
        </w:rPr>
        <w:t xml:space="preserve">2 </w:t>
      </w:r>
      <w:r>
        <w:rPr>
          <w:rStyle w:val="34"/>
          <w:rFonts w:hint="eastAsia"/>
        </w:rPr>
        <w:t xml:space="preserve"> 规范性引用文件</w:t>
      </w:r>
      <w:r>
        <w:tab/>
      </w:r>
      <w:r>
        <w:fldChar w:fldCharType="begin"/>
      </w:r>
      <w:r>
        <w:instrText xml:space="preserve"> PAGEREF _Toc148468721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"_Toc148468722" </w:instrText>
      </w:r>
      <w:r>
        <w:fldChar w:fldCharType="separate"/>
      </w:r>
      <w:r>
        <w:rPr>
          <w:rStyle w:val="34"/>
        </w:rPr>
        <w:t xml:space="preserve">3 </w:t>
      </w:r>
      <w:r>
        <w:rPr>
          <w:rStyle w:val="34"/>
          <w:rFonts w:hint="eastAsia"/>
        </w:rPr>
        <w:t xml:space="preserve"> 术语和定义</w:t>
      </w:r>
      <w:r>
        <w:tab/>
      </w:r>
      <w:r>
        <w:fldChar w:fldCharType="begin"/>
      </w:r>
      <w:r>
        <w:instrText xml:space="preserve"> PAGEREF _Toc148468722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"_Toc148468723" </w:instrText>
      </w:r>
      <w:r>
        <w:fldChar w:fldCharType="separate"/>
      </w:r>
      <w:r>
        <w:rPr>
          <w:rStyle w:val="34"/>
        </w:rPr>
        <w:t xml:space="preserve">4 </w:t>
      </w:r>
      <w:r>
        <w:rPr>
          <w:rStyle w:val="34"/>
          <w:rFonts w:hint="eastAsia"/>
        </w:rPr>
        <w:t xml:space="preserve"> 养殖场环境条件</w:t>
      </w:r>
      <w:r>
        <w:tab/>
      </w:r>
      <w:r>
        <w:fldChar w:fldCharType="begin"/>
      </w:r>
      <w:r>
        <w:instrText xml:space="preserve"> PAGEREF _Toc148468723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"_Toc148468724" </w:instrText>
      </w:r>
      <w:r>
        <w:fldChar w:fldCharType="separate"/>
      </w:r>
      <w:r>
        <w:rPr>
          <w:rStyle w:val="34"/>
          <w14:scene3d>
            <w14:lightRig w14:rig="threePt" w14:dir="t">
              <w14:rot w14:lat="0" w14:lon="0" w14:rev="0"/>
            </w14:lightRig>
          </w14:scene3d>
        </w:rPr>
        <w:t xml:space="preserve">4.1 </w:t>
      </w:r>
      <w:r>
        <w:rPr>
          <w:rStyle w:val="34"/>
          <w:rFonts w:hint="eastAsia"/>
        </w:rPr>
        <w:t xml:space="preserve"> 场址选择</w:t>
      </w:r>
      <w:r>
        <w:tab/>
      </w:r>
      <w:r>
        <w:fldChar w:fldCharType="begin"/>
      </w:r>
      <w:r>
        <w:instrText xml:space="preserve"> PAGEREF _Toc148468724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"_Toc148468725" </w:instrText>
      </w:r>
      <w:r>
        <w:fldChar w:fldCharType="separate"/>
      </w:r>
      <w:r>
        <w:rPr>
          <w:rStyle w:val="34"/>
          <w14:scene3d>
            <w14:lightRig w14:rig="threePt" w14:dir="t">
              <w14:rot w14:lat="0" w14:lon="0" w14:rev="0"/>
            </w14:lightRig>
          </w14:scene3d>
        </w:rPr>
        <w:t xml:space="preserve">4.2 </w:t>
      </w:r>
      <w:r>
        <w:rPr>
          <w:rStyle w:val="34"/>
          <w:rFonts w:hint="eastAsia"/>
        </w:rPr>
        <w:t xml:space="preserve"> 酸碱度（</w:t>
      </w:r>
      <w:r>
        <w:rPr>
          <w:rStyle w:val="34"/>
          <w:rFonts w:ascii="Times New Roman"/>
        </w:rPr>
        <w:t>pH</w:t>
      </w:r>
      <w:r>
        <w:rPr>
          <w:rStyle w:val="34"/>
          <w:rFonts w:hint="eastAsia"/>
        </w:rPr>
        <w:t>值）</w:t>
      </w:r>
      <w:r>
        <w:tab/>
      </w:r>
      <w:r>
        <w:fldChar w:fldCharType="begin"/>
      </w:r>
      <w:r>
        <w:instrText xml:space="preserve"> PAGEREF _Toc148468725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"_Toc148468726" </w:instrText>
      </w:r>
      <w:r>
        <w:fldChar w:fldCharType="separate"/>
      </w:r>
      <w:r>
        <w:rPr>
          <w:rStyle w:val="34"/>
          <w14:scene3d>
            <w14:lightRig w14:rig="threePt" w14:dir="t">
              <w14:rot w14:lat="0" w14:lon="0" w14:rev="0"/>
            </w14:lightRig>
          </w14:scene3d>
        </w:rPr>
        <w:t xml:space="preserve">4.3 </w:t>
      </w:r>
      <w:r>
        <w:rPr>
          <w:rStyle w:val="34"/>
          <w:rFonts w:hint="eastAsia"/>
        </w:rPr>
        <w:t xml:space="preserve"> 盐度</w:t>
      </w:r>
      <w:r>
        <w:tab/>
      </w:r>
      <w:r>
        <w:fldChar w:fldCharType="begin"/>
      </w:r>
      <w:r>
        <w:instrText xml:space="preserve"> PAGEREF _Toc148468726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"_Toc148468727" </w:instrText>
      </w:r>
      <w:r>
        <w:fldChar w:fldCharType="separate"/>
      </w:r>
      <w:r>
        <w:rPr>
          <w:rStyle w:val="34"/>
        </w:rPr>
        <w:t xml:space="preserve">5 </w:t>
      </w:r>
      <w:r>
        <w:rPr>
          <w:rStyle w:val="34"/>
          <w:rFonts w:hint="eastAsia"/>
        </w:rPr>
        <w:t xml:space="preserve"> 池塘要求</w:t>
      </w:r>
      <w:r>
        <w:tab/>
      </w:r>
      <w:r>
        <w:fldChar w:fldCharType="begin"/>
      </w:r>
      <w:r>
        <w:instrText xml:space="preserve"> PAGEREF _Toc148468727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"_Toc148468728" </w:instrText>
      </w:r>
      <w:r>
        <w:fldChar w:fldCharType="separate"/>
      </w:r>
      <w:r>
        <w:rPr>
          <w:rStyle w:val="34"/>
          <w14:scene3d>
            <w14:lightRig w14:rig="threePt" w14:dir="t">
              <w14:rot w14:lat="0" w14:lon="0" w14:rev="0"/>
            </w14:lightRig>
          </w14:scene3d>
        </w:rPr>
        <w:t xml:space="preserve">5.1 </w:t>
      </w:r>
      <w:r>
        <w:rPr>
          <w:rStyle w:val="34"/>
          <w:rFonts w:hint="eastAsia"/>
        </w:rPr>
        <w:t xml:space="preserve"> 基础条件</w:t>
      </w:r>
      <w:r>
        <w:tab/>
      </w:r>
      <w:r>
        <w:fldChar w:fldCharType="begin"/>
      </w:r>
      <w:r>
        <w:instrText xml:space="preserve"> PAGEREF _Toc148468728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"_Toc148468729" </w:instrText>
      </w:r>
      <w:r>
        <w:fldChar w:fldCharType="separate"/>
      </w:r>
      <w:r>
        <w:rPr>
          <w:rStyle w:val="34"/>
          <w14:scene3d>
            <w14:lightRig w14:rig="threePt" w14:dir="t">
              <w14:rot w14:lat="0" w14:lon="0" w14:rev="0"/>
            </w14:lightRig>
          </w14:scene3d>
        </w:rPr>
        <w:t xml:space="preserve">5.2 </w:t>
      </w:r>
      <w:r>
        <w:rPr>
          <w:rStyle w:val="34"/>
          <w:rFonts w:hint="eastAsia"/>
        </w:rPr>
        <w:t xml:space="preserve"> 配套设备</w:t>
      </w:r>
      <w:r>
        <w:tab/>
      </w:r>
      <w:r>
        <w:fldChar w:fldCharType="begin"/>
      </w:r>
      <w:r>
        <w:instrText xml:space="preserve"> PAGEREF _Toc148468729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"_Toc148468730" </w:instrText>
      </w:r>
      <w:r>
        <w:fldChar w:fldCharType="separate"/>
      </w:r>
      <w:r>
        <w:rPr>
          <w:rStyle w:val="34"/>
        </w:rPr>
        <w:t xml:space="preserve">6 </w:t>
      </w:r>
      <w:r>
        <w:rPr>
          <w:rStyle w:val="34"/>
          <w:rFonts w:hint="eastAsia"/>
        </w:rPr>
        <w:t xml:space="preserve"> 池水培养</w:t>
      </w:r>
      <w:r>
        <w:tab/>
      </w:r>
      <w:r>
        <w:fldChar w:fldCharType="begin"/>
      </w:r>
      <w:r>
        <w:instrText xml:space="preserve"> PAGEREF _Toc148468730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"_Toc148468731" </w:instrText>
      </w:r>
      <w:r>
        <w:fldChar w:fldCharType="separate"/>
      </w:r>
      <w:r>
        <w:rPr>
          <w:rStyle w:val="34"/>
          <w14:scene3d>
            <w14:lightRig w14:rig="threePt" w14:dir="t">
              <w14:rot w14:lat="0" w14:lon="0" w14:rev="0"/>
            </w14:lightRig>
          </w14:scene3d>
        </w:rPr>
        <w:t xml:space="preserve">6.1 </w:t>
      </w:r>
      <w:r>
        <w:rPr>
          <w:rStyle w:val="34"/>
          <w:rFonts w:hint="eastAsia"/>
        </w:rPr>
        <w:t xml:space="preserve"> 清淤整池</w:t>
      </w:r>
      <w:r>
        <w:tab/>
      </w:r>
      <w:r>
        <w:fldChar w:fldCharType="begin"/>
      </w:r>
      <w:r>
        <w:instrText xml:space="preserve"> PAGEREF _Toc148468731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"_Toc148468732" </w:instrText>
      </w:r>
      <w:r>
        <w:fldChar w:fldCharType="separate"/>
      </w:r>
      <w:r>
        <w:rPr>
          <w:rStyle w:val="34"/>
          <w14:scene3d>
            <w14:lightRig w14:rig="threePt" w14:dir="t">
              <w14:rot w14:lat="0" w14:lon="0" w14:rev="0"/>
            </w14:lightRig>
          </w14:scene3d>
        </w:rPr>
        <w:t xml:space="preserve">6.2 </w:t>
      </w:r>
      <w:r>
        <w:rPr>
          <w:rStyle w:val="34"/>
          <w:rFonts w:hint="eastAsia"/>
        </w:rPr>
        <w:t xml:space="preserve"> 池塘进水</w:t>
      </w:r>
      <w:r>
        <w:tab/>
      </w:r>
      <w:r>
        <w:fldChar w:fldCharType="begin"/>
      </w:r>
      <w:r>
        <w:instrText xml:space="preserve"> PAGEREF _Toc148468732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"_Toc148468733" </w:instrText>
      </w:r>
      <w:r>
        <w:fldChar w:fldCharType="separate"/>
      </w:r>
      <w:r>
        <w:rPr>
          <w:rStyle w:val="34"/>
        </w:rPr>
        <w:t xml:space="preserve">7 </w:t>
      </w:r>
      <w:r>
        <w:rPr>
          <w:rStyle w:val="34"/>
          <w:rFonts w:hint="eastAsia"/>
        </w:rPr>
        <w:t xml:space="preserve"> 苗种放养</w:t>
      </w:r>
      <w:r>
        <w:tab/>
      </w:r>
      <w:r>
        <w:fldChar w:fldCharType="begin"/>
      </w:r>
      <w:r>
        <w:instrText xml:space="preserve"> PAGEREF _Toc148468733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"_Toc148468734" </w:instrText>
      </w:r>
      <w:r>
        <w:fldChar w:fldCharType="separate"/>
      </w:r>
      <w:r>
        <w:rPr>
          <w:rStyle w:val="34"/>
          <w14:scene3d>
            <w14:lightRig w14:rig="threePt" w14:dir="t">
              <w14:rot w14:lat="0" w14:lon="0" w14:rev="0"/>
            </w14:lightRig>
          </w14:scene3d>
        </w:rPr>
        <w:t xml:space="preserve">7.1 </w:t>
      </w:r>
      <w:r>
        <w:rPr>
          <w:rStyle w:val="34"/>
          <w:rFonts w:hint="eastAsia"/>
        </w:rPr>
        <w:t xml:space="preserve"> 苗种选择</w:t>
      </w:r>
      <w:r>
        <w:tab/>
      </w:r>
      <w:r>
        <w:fldChar w:fldCharType="begin"/>
      </w:r>
      <w:r>
        <w:instrText xml:space="preserve"> PAGEREF _Toc148468734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"_Toc148468735" </w:instrText>
      </w:r>
      <w:r>
        <w:fldChar w:fldCharType="separate"/>
      </w:r>
      <w:r>
        <w:rPr>
          <w:rStyle w:val="34"/>
          <w14:scene3d>
            <w14:lightRig w14:rig="threePt" w14:dir="t">
              <w14:rot w14:lat="0" w14:lon="0" w14:rev="0"/>
            </w14:lightRig>
          </w14:scene3d>
        </w:rPr>
        <w:t xml:space="preserve">7.2 </w:t>
      </w:r>
      <w:r>
        <w:rPr>
          <w:rStyle w:val="34"/>
          <w:rFonts w:hint="eastAsia"/>
        </w:rPr>
        <w:t xml:space="preserve"> 苗种放养</w:t>
      </w:r>
      <w:r>
        <w:tab/>
      </w:r>
      <w:r>
        <w:fldChar w:fldCharType="begin"/>
      </w:r>
      <w:r>
        <w:instrText xml:space="preserve"> PAGEREF _Toc148468735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"_Toc148468736" </w:instrText>
      </w:r>
      <w:r>
        <w:fldChar w:fldCharType="separate"/>
      </w:r>
      <w:r>
        <w:rPr>
          <w:rStyle w:val="34"/>
          <w14:scene3d>
            <w14:lightRig w14:rig="threePt" w14:dir="t">
              <w14:rot w14:lat="0" w14:lon="0" w14:rev="0"/>
            </w14:lightRig>
          </w14:scene3d>
        </w:rPr>
        <w:t xml:space="preserve">7.3 </w:t>
      </w:r>
      <w:r>
        <w:rPr>
          <w:rStyle w:val="34"/>
          <w:rFonts w:hint="eastAsia"/>
        </w:rPr>
        <w:t xml:space="preserve"> 饲料选择</w:t>
      </w:r>
      <w:r>
        <w:tab/>
      </w:r>
      <w:r>
        <w:fldChar w:fldCharType="begin"/>
      </w:r>
      <w:r>
        <w:instrText xml:space="preserve"> PAGEREF _Toc148468736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"_Toc148468737" </w:instrText>
      </w:r>
      <w:r>
        <w:fldChar w:fldCharType="separate"/>
      </w:r>
      <w:r>
        <w:rPr>
          <w:rStyle w:val="34"/>
        </w:rPr>
        <w:t xml:space="preserve">8 </w:t>
      </w:r>
      <w:r>
        <w:rPr>
          <w:rStyle w:val="34"/>
          <w:rFonts w:hint="eastAsia"/>
        </w:rPr>
        <w:t xml:space="preserve"> 日常管理</w:t>
      </w:r>
      <w:r>
        <w:tab/>
      </w:r>
      <w:r>
        <w:fldChar w:fldCharType="begin"/>
      </w:r>
      <w:r>
        <w:instrText xml:space="preserve"> PAGEREF _Toc148468737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"_Toc148468738" </w:instrText>
      </w:r>
      <w:r>
        <w:fldChar w:fldCharType="separate"/>
      </w:r>
      <w:r>
        <w:rPr>
          <w:rStyle w:val="34"/>
          <w14:scene3d>
            <w14:lightRig w14:rig="threePt" w14:dir="t">
              <w14:rot w14:lat="0" w14:lon="0" w14:rev="0"/>
            </w14:lightRig>
          </w14:scene3d>
        </w:rPr>
        <w:t xml:space="preserve">8.1 </w:t>
      </w:r>
      <w:r>
        <w:rPr>
          <w:rStyle w:val="34"/>
          <w:rFonts w:hint="eastAsia"/>
        </w:rPr>
        <w:t xml:space="preserve"> 饲料投喂</w:t>
      </w:r>
      <w:r>
        <w:tab/>
      </w:r>
      <w:r>
        <w:fldChar w:fldCharType="begin"/>
      </w:r>
      <w:r>
        <w:instrText xml:space="preserve"> PAGEREF _Toc148468738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"_Toc148468739" </w:instrText>
      </w:r>
      <w:r>
        <w:fldChar w:fldCharType="separate"/>
      </w:r>
      <w:r>
        <w:rPr>
          <w:rStyle w:val="34"/>
          <w14:scene3d>
            <w14:lightRig w14:rig="threePt" w14:dir="t">
              <w14:rot w14:lat="0" w14:lon="0" w14:rev="0"/>
            </w14:lightRig>
          </w14:scene3d>
        </w:rPr>
        <w:t xml:space="preserve">8.2 </w:t>
      </w:r>
      <w:r>
        <w:rPr>
          <w:rStyle w:val="34"/>
          <w:rFonts w:hint="eastAsia"/>
        </w:rPr>
        <w:t xml:space="preserve"> 水质管理</w:t>
      </w:r>
      <w:r>
        <w:tab/>
      </w:r>
      <w:r>
        <w:fldChar w:fldCharType="begin"/>
      </w:r>
      <w:r>
        <w:instrText xml:space="preserve"> PAGEREF _Toc148468739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"_Toc148468740" </w:instrText>
      </w:r>
      <w:r>
        <w:fldChar w:fldCharType="separate"/>
      </w:r>
      <w:r>
        <w:rPr>
          <w:rStyle w:val="34"/>
          <w14:scene3d>
            <w14:lightRig w14:rig="threePt" w14:dir="t">
              <w14:rot w14:lat="0" w14:lon="0" w14:rev="0"/>
            </w14:lightRig>
          </w14:scene3d>
        </w:rPr>
        <w:t xml:space="preserve">8.3 </w:t>
      </w:r>
      <w:r>
        <w:rPr>
          <w:rStyle w:val="34"/>
          <w:rFonts w:hint="eastAsia"/>
        </w:rPr>
        <w:t xml:space="preserve"> 增氧管理</w:t>
      </w:r>
      <w:r>
        <w:tab/>
      </w:r>
      <w:r>
        <w:fldChar w:fldCharType="begin"/>
      </w:r>
      <w:r>
        <w:instrText xml:space="preserve"> PAGEREF _Toc148468740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"_Toc148468741" </w:instrText>
      </w:r>
      <w:r>
        <w:fldChar w:fldCharType="separate"/>
      </w:r>
      <w:r>
        <w:rPr>
          <w:rStyle w:val="34"/>
          <w14:scene3d>
            <w14:lightRig w14:rig="threePt" w14:dir="t">
              <w14:rot w14:lat="0" w14:lon="0" w14:rev="0"/>
            </w14:lightRig>
          </w14:scene3d>
        </w:rPr>
        <w:t xml:space="preserve">8.4 </w:t>
      </w:r>
      <w:r>
        <w:rPr>
          <w:rStyle w:val="34"/>
          <w:rFonts w:hint="eastAsia"/>
        </w:rPr>
        <w:t xml:space="preserve"> 养殖记录及产品追溯</w:t>
      </w:r>
      <w:r>
        <w:tab/>
      </w:r>
      <w:r>
        <w:fldChar w:fldCharType="begin"/>
      </w:r>
      <w:r>
        <w:instrText xml:space="preserve"> PAGEREF _Toc148468741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"_Toc148468742" </w:instrText>
      </w:r>
      <w:r>
        <w:fldChar w:fldCharType="separate"/>
      </w:r>
      <w:r>
        <w:rPr>
          <w:rStyle w:val="34"/>
        </w:rPr>
        <w:t xml:space="preserve">9 </w:t>
      </w:r>
      <w:r>
        <w:rPr>
          <w:rStyle w:val="34"/>
          <w:rFonts w:hint="eastAsia"/>
        </w:rPr>
        <w:t xml:space="preserve"> 病害防治</w:t>
      </w:r>
      <w:r>
        <w:tab/>
      </w:r>
      <w:r>
        <w:fldChar w:fldCharType="begin"/>
      </w:r>
      <w:r>
        <w:instrText xml:space="preserve"> PAGEREF _Toc148468742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"_Toc148468743" </w:instrText>
      </w:r>
      <w:r>
        <w:fldChar w:fldCharType="separate"/>
      </w:r>
      <w:r>
        <w:rPr>
          <w:rStyle w:val="34"/>
        </w:rPr>
        <w:t xml:space="preserve">10 </w:t>
      </w:r>
      <w:r>
        <w:rPr>
          <w:rStyle w:val="34"/>
          <w:rFonts w:hint="eastAsia"/>
        </w:rPr>
        <w:t xml:space="preserve"> 捕捞</w:t>
      </w:r>
      <w:r>
        <w:tab/>
      </w:r>
      <w:r>
        <w:fldChar w:fldCharType="begin"/>
      </w:r>
      <w:r>
        <w:instrText xml:space="preserve"> PAGEREF _Toc148468743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"_Toc148468744" </w:instrText>
      </w:r>
      <w:r>
        <w:fldChar w:fldCharType="separate"/>
      </w:r>
      <w:r>
        <w:rPr>
          <w:rStyle w:val="34"/>
        </w:rPr>
        <w:t xml:space="preserve">11 </w:t>
      </w:r>
      <w:r>
        <w:rPr>
          <w:rStyle w:val="34"/>
          <w:rFonts w:hint="eastAsia"/>
        </w:rPr>
        <w:t xml:space="preserve"> 养殖尾水处理</w:t>
      </w:r>
      <w:r>
        <w:tab/>
      </w:r>
      <w:r>
        <w:fldChar w:fldCharType="begin"/>
      </w:r>
      <w:r>
        <w:instrText xml:space="preserve"> PAGEREF _Toc148468744 \h </w:instrText>
      </w:r>
      <w:r>
        <w:fldChar w:fldCharType="separate"/>
      </w:r>
      <w:r>
        <w:t>4</w:t>
      </w:r>
      <w:r>
        <w:fldChar w:fldCharType="end"/>
      </w:r>
      <w:r>
        <w:fldChar w:fldCharType="end"/>
      </w:r>
    </w:p>
    <w:p>
      <w:pPr>
        <w:pStyle w:val="94"/>
        <w:spacing w:after="468"/>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4"/>
    <w:p>
      <w:pPr>
        <w:pStyle w:val="92"/>
        <w:spacing w:after="468"/>
      </w:pPr>
      <w:bookmarkStart w:id="18" w:name="_Toc148468719"/>
      <w:bookmarkStart w:id="19" w:name="BookMark2"/>
      <w:r>
        <w:rPr>
          <w:spacing w:val="320"/>
        </w:rPr>
        <w:t>前</w:t>
      </w:r>
      <w:r>
        <w:t>言</w:t>
      </w:r>
      <w:bookmarkEnd w:id="15"/>
      <w:bookmarkEnd w:id="16"/>
      <w:bookmarkEnd w:id="17"/>
      <w:bookmarkEnd w:id="18"/>
    </w:p>
    <w:p>
      <w:pPr>
        <w:pStyle w:val="59"/>
        <w:ind w:firstLine="420"/>
      </w:pPr>
      <w:r>
        <w:rPr>
          <w:rFonts w:hint="eastAsia"/>
        </w:rPr>
        <w:t>本文件按照</w:t>
      </w:r>
      <w:r>
        <w:rPr>
          <w:rFonts w:ascii="Times New Roman"/>
        </w:rPr>
        <w:t>GB/T</w:t>
      </w:r>
      <w:r>
        <w:rPr>
          <w:rFonts w:hint="eastAsia"/>
        </w:rPr>
        <w:t xml:space="preserve"> 1.1—2020《标准化工作导则  第1部分：标准化文件的结构和起草规则》的规定起草。</w:t>
      </w:r>
    </w:p>
    <w:p>
      <w:pPr>
        <w:pStyle w:val="59"/>
        <w:ind w:firstLine="420"/>
      </w:pPr>
      <w:r>
        <w:rPr>
          <w:rFonts w:hint="eastAsia"/>
        </w:rPr>
        <w:t>请注意本文件的某些内容可能涉及专利。本文件的发布机构不承担识别专利的责任。</w:t>
      </w:r>
    </w:p>
    <w:p>
      <w:pPr>
        <w:pStyle w:val="59"/>
        <w:ind w:firstLine="420"/>
      </w:pPr>
      <w:r>
        <w:rPr>
          <w:rFonts w:hint="eastAsia"/>
        </w:rPr>
        <w:t>本文件由汕头市农业农村局提出并</w:t>
      </w:r>
      <w:r>
        <w:t>归口</w:t>
      </w:r>
      <w:r>
        <w:rPr>
          <w:rFonts w:hint="eastAsia"/>
        </w:rPr>
        <w:t>。</w:t>
      </w:r>
    </w:p>
    <w:p>
      <w:pPr>
        <w:pStyle w:val="236"/>
        <w:ind w:firstLine="420"/>
      </w:pPr>
      <w:r>
        <w:rPr>
          <w:rFonts w:hint="eastAsia"/>
        </w:rPr>
        <w:t>本文件起草单位：汕头市水产技术推广中心站、汕头市康顺种养专业合作社、汕头市粤瑞水产养殖有限公司。</w:t>
      </w:r>
    </w:p>
    <w:p>
      <w:pPr>
        <w:pStyle w:val="59"/>
        <w:ind w:firstLine="420"/>
      </w:pPr>
      <w:r>
        <w:rPr>
          <w:rFonts w:hint="eastAsia"/>
        </w:rPr>
        <w:t>本文件主要起草人：马庆涛、马瑞湖、洪伟泽、</w:t>
      </w:r>
      <w:r>
        <w:rPr>
          <w:rFonts w:hint="eastAsia"/>
          <w:lang w:val="en-US" w:eastAsia="zh-CN"/>
        </w:rPr>
        <w:t>杨文君、</w:t>
      </w:r>
      <w:r>
        <w:rPr>
          <w:rFonts w:hint="eastAsia"/>
        </w:rPr>
        <w:t>郭丽纯、</w:t>
      </w:r>
      <w:r>
        <w:rPr>
          <w:rFonts w:hint="eastAsia"/>
          <w:lang w:val="en-US" w:eastAsia="zh-CN"/>
        </w:rPr>
        <w:t>黄艳群、张楚妃、</w:t>
      </w:r>
      <w:r>
        <w:rPr>
          <w:rFonts w:hint="eastAsia"/>
        </w:rPr>
        <w:t>肖泽树</w:t>
      </w:r>
      <w:r>
        <w:rPr>
          <w:rFonts w:hint="eastAsia"/>
          <w:lang w:eastAsia="zh-CN"/>
        </w:rPr>
        <w:t>、</w:t>
      </w:r>
      <w:r>
        <w:rPr>
          <w:rFonts w:hint="eastAsia"/>
        </w:rPr>
        <w:t>赖向生、林壮炳</w:t>
      </w:r>
      <w:r>
        <w:rPr>
          <w:rFonts w:hint="eastAsia"/>
          <w:lang w:eastAsia="zh-CN"/>
        </w:rPr>
        <w:t>、</w:t>
      </w:r>
      <w:r>
        <w:rPr>
          <w:rFonts w:hint="eastAsia"/>
          <w:lang w:val="en-US" w:eastAsia="zh-CN"/>
        </w:rPr>
        <w:t>马楚平</w:t>
      </w:r>
      <w:bookmarkStart w:id="111" w:name="_GoBack"/>
      <w:bookmarkEnd w:id="111"/>
      <w:r>
        <w:rPr>
          <w:rFonts w:hint="eastAsia"/>
        </w:rPr>
        <w:t>。</w:t>
      </w:r>
    </w:p>
    <w:p>
      <w:pPr>
        <w:pStyle w:val="59"/>
        <w:ind w:firstLine="420"/>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425" w:num="1"/>
          <w:formProt w:val="0"/>
          <w:docGrid w:type="lines" w:linePitch="312" w:charSpace="0"/>
        </w:sectPr>
      </w:pPr>
    </w:p>
    <w:bookmarkEnd w:id="19"/>
    <w:p>
      <w:pPr>
        <w:spacing w:line="20" w:lineRule="exact"/>
        <w:jc w:val="center"/>
        <w:rPr>
          <w:rFonts w:ascii="黑体" w:hAnsi="黑体" w:eastAsia="黑体"/>
          <w:sz w:val="32"/>
          <w:szCs w:val="32"/>
        </w:rPr>
      </w:pPr>
      <w:bookmarkStart w:id="20" w:name="BookMark4"/>
    </w:p>
    <w:p>
      <w:pPr>
        <w:spacing w:line="20" w:lineRule="exact"/>
        <w:jc w:val="center"/>
        <w:rPr>
          <w:rFonts w:ascii="黑体" w:hAnsi="黑体" w:eastAsia="黑体"/>
          <w:sz w:val="32"/>
          <w:szCs w:val="32"/>
        </w:rPr>
      </w:pPr>
    </w:p>
    <w:sdt>
      <w:sdtPr>
        <w:tag w:val="NEW_STAND_NAME"/>
        <w:id w:val="595910757"/>
        <w:lock w:val="sdtLocked"/>
        <w:placeholder>
          <w:docPart w:val="345C1027570749DAB7A88F8D292F6547"/>
        </w:placeholder>
      </w:sdtPr>
      <w:sdtContent>
        <w:p>
          <w:pPr>
            <w:pStyle w:val="180"/>
            <w:spacing w:before="3" w:beforeLines="1" w:after="686" w:afterLines="220"/>
          </w:pPr>
          <w:bookmarkStart w:id="21" w:name="NEW_STAND_NAME"/>
          <w:r>
            <w:rPr>
              <w:rFonts w:hint="eastAsia"/>
            </w:rPr>
            <w:t>罗氏沼虾生态混养技术规程</w:t>
          </w:r>
        </w:p>
      </w:sdtContent>
    </w:sdt>
    <w:bookmarkEnd w:id="21"/>
    <w:p>
      <w:pPr>
        <w:pStyle w:val="107"/>
        <w:spacing w:before="312" w:after="312"/>
      </w:pPr>
      <w:bookmarkStart w:id="22" w:name="_Toc148468720"/>
      <w:bookmarkStart w:id="23" w:name="_Toc24884211"/>
      <w:bookmarkStart w:id="24" w:name="_Toc26718930"/>
      <w:bookmarkStart w:id="25" w:name="_Toc148440175"/>
      <w:bookmarkStart w:id="26" w:name="_Toc17233333"/>
      <w:bookmarkStart w:id="27" w:name="_Toc26986530"/>
      <w:bookmarkStart w:id="28" w:name="_Toc146120199"/>
      <w:bookmarkStart w:id="29" w:name="_Toc146104067"/>
      <w:bookmarkStart w:id="30" w:name="_Toc26986771"/>
      <w:bookmarkStart w:id="31" w:name="_Toc17233325"/>
      <w:bookmarkStart w:id="32" w:name="_Toc24884218"/>
      <w:bookmarkStart w:id="33" w:name="_Toc26648465"/>
      <w:bookmarkStart w:id="34" w:name="_Toc97191423"/>
      <w:r>
        <w:rPr>
          <w:rFonts w:hint="eastAsia"/>
        </w:rPr>
        <w:t>范围</w:t>
      </w:r>
      <w:bookmarkEnd w:id="22"/>
      <w:bookmarkEnd w:id="23"/>
      <w:bookmarkEnd w:id="24"/>
      <w:bookmarkEnd w:id="25"/>
      <w:bookmarkEnd w:id="26"/>
      <w:bookmarkEnd w:id="27"/>
      <w:bookmarkEnd w:id="28"/>
      <w:bookmarkEnd w:id="29"/>
      <w:bookmarkEnd w:id="30"/>
      <w:bookmarkEnd w:id="31"/>
      <w:bookmarkEnd w:id="32"/>
      <w:bookmarkEnd w:id="33"/>
      <w:bookmarkEnd w:id="34"/>
    </w:p>
    <w:p>
      <w:pPr>
        <w:widowControl/>
        <w:autoSpaceDE w:val="0"/>
        <w:autoSpaceDN w:val="0"/>
        <w:adjustRightInd/>
        <w:spacing w:line="240" w:lineRule="auto"/>
        <w:ind w:firstLine="420" w:firstLineChars="200"/>
        <w:rPr>
          <w:rFonts w:ascii="宋体" w:hAnsi="Times New Roman" w:eastAsia="仿宋_GB2312"/>
          <w:kern w:val="0"/>
        </w:rPr>
      </w:pPr>
      <w:bookmarkStart w:id="35" w:name="_Toc26986772"/>
      <w:bookmarkStart w:id="36" w:name="_Toc17233326"/>
      <w:bookmarkStart w:id="37" w:name="_Toc26648466"/>
      <w:bookmarkStart w:id="38" w:name="_Toc146104068"/>
      <w:bookmarkStart w:id="39" w:name="_Toc26718931"/>
      <w:bookmarkStart w:id="40" w:name="_Toc24884212"/>
      <w:bookmarkStart w:id="41" w:name="_Toc26986531"/>
      <w:bookmarkStart w:id="42" w:name="_Toc97191424"/>
      <w:bookmarkStart w:id="43" w:name="_Toc146120200"/>
      <w:bookmarkStart w:id="44" w:name="_Toc17233334"/>
      <w:bookmarkStart w:id="45" w:name="_Toc24884219"/>
      <w:r>
        <w:rPr>
          <w:rFonts w:hint="eastAsia" w:ascii="宋体" w:hAnsi="宋体"/>
          <w:kern w:val="0"/>
        </w:rPr>
        <w:t>本文件规定了淡水池塘罗氏沼虾</w:t>
      </w:r>
      <w:r>
        <w:rPr>
          <w:rFonts w:hint="eastAsia" w:ascii="宋体" w:hAnsi="宋体"/>
          <w:kern w:val="0"/>
          <w:sz w:val="24"/>
          <w:szCs w:val="24"/>
        </w:rPr>
        <w:t>生态</w:t>
      </w:r>
      <w:r>
        <w:rPr>
          <w:rFonts w:hint="eastAsia" w:ascii="宋体" w:hAnsi="宋体"/>
          <w:kern w:val="0"/>
        </w:rPr>
        <w:t>混养的环境条件、池塘要求、池水培养、苗种放养、日常管理、病害防治、捕捞、养殖尾水处理等要求。</w:t>
      </w:r>
    </w:p>
    <w:p>
      <w:pPr>
        <w:widowControl/>
        <w:autoSpaceDE w:val="0"/>
        <w:autoSpaceDN w:val="0"/>
        <w:adjustRightInd/>
        <w:spacing w:line="240" w:lineRule="auto"/>
        <w:ind w:left="420"/>
        <w:rPr>
          <w:rFonts w:ascii="宋体" w:hAnsi="Times New Roman"/>
          <w:kern w:val="0"/>
        </w:rPr>
      </w:pPr>
      <w:r>
        <w:rPr>
          <w:rFonts w:hint="eastAsia" w:ascii="宋体" w:hAnsi="宋体"/>
          <w:kern w:val="0"/>
        </w:rPr>
        <w:t>本文件适用于汕头</w:t>
      </w:r>
      <w:r>
        <w:rPr>
          <w:rFonts w:hint="eastAsia" w:ascii="宋体" w:hAnsi="宋体"/>
          <w:kern w:val="0"/>
          <w:lang w:val="en-US" w:eastAsia="zh-CN"/>
        </w:rPr>
        <w:t>市</w:t>
      </w:r>
      <w:r>
        <w:rPr>
          <w:rFonts w:hint="eastAsia" w:ascii="宋体" w:hAnsi="宋体"/>
          <w:kern w:val="0"/>
        </w:rPr>
        <w:t>行政辖区内淡水池塘开展罗氏沼虾生态混养。</w:t>
      </w:r>
    </w:p>
    <w:p>
      <w:pPr>
        <w:pStyle w:val="107"/>
        <w:spacing w:before="312" w:after="312"/>
      </w:pPr>
      <w:bookmarkStart w:id="46" w:name="_Toc148440176"/>
      <w:bookmarkStart w:id="47" w:name="_Toc148468721"/>
      <w:r>
        <w:rPr>
          <w:rFonts w:hint="eastAsia"/>
        </w:rPr>
        <w:t>规范性引用文件</w:t>
      </w:r>
      <w:bookmarkEnd w:id="35"/>
      <w:bookmarkEnd w:id="36"/>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FA4275B8EAF84E58A51892C4A4CB5C7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6"/>
        <w:ind w:firstLine="420"/>
      </w:pPr>
      <w:bookmarkStart w:id="48" w:name="_Toc146104069"/>
      <w:bookmarkStart w:id="49" w:name="_Toc146120201"/>
      <w:bookmarkStart w:id="50" w:name="_Toc97191425"/>
      <w:r>
        <w:rPr>
          <w:rFonts w:ascii="Times New Roman"/>
        </w:rPr>
        <w:t>GB</w:t>
      </w:r>
      <w:r>
        <w:rPr>
          <w:rFonts w:hint="eastAsia" w:hAnsi="宋体"/>
        </w:rPr>
        <w:t xml:space="preserve"> 11607  渔业水质标准</w:t>
      </w:r>
    </w:p>
    <w:p>
      <w:pPr>
        <w:pStyle w:val="236"/>
        <w:ind w:firstLine="420"/>
      </w:pPr>
      <w:r>
        <w:rPr>
          <w:rFonts w:hint="eastAsia" w:ascii="Times New Roman"/>
        </w:rPr>
        <w:t>GB</w:t>
      </w:r>
      <w:r>
        <w:rPr>
          <w:rFonts w:hint="eastAsia" w:hAnsi="宋体"/>
        </w:rPr>
        <w:t xml:space="preserve"> 13078  饲料卫生标准</w:t>
      </w:r>
    </w:p>
    <w:p>
      <w:pPr>
        <w:pStyle w:val="236"/>
        <w:ind w:firstLine="420"/>
      </w:pPr>
      <w:r>
        <w:rPr>
          <w:rFonts w:hint="eastAsia" w:ascii="Times New Roman"/>
        </w:rPr>
        <w:t>GB/T</w:t>
      </w:r>
      <w:r>
        <w:rPr>
          <w:rFonts w:hint="eastAsia" w:hAnsi="宋体"/>
        </w:rPr>
        <w:t xml:space="preserve"> 22919.5  水产配合饲料　第5部分:南美白对虾配合饲料</w:t>
      </w:r>
    </w:p>
    <w:p>
      <w:pPr>
        <w:pStyle w:val="236"/>
        <w:ind w:firstLine="420"/>
        <w:rPr>
          <w:rFonts w:hAnsi="宋体"/>
        </w:rPr>
      </w:pPr>
      <w:r>
        <w:rPr>
          <w:rFonts w:hint="eastAsia" w:ascii="Times New Roman"/>
        </w:rPr>
        <w:t>NY</w:t>
      </w:r>
      <w:r>
        <w:rPr>
          <w:rFonts w:hint="eastAsia" w:hAnsi="宋体"/>
        </w:rPr>
        <w:t xml:space="preserve"> 5071  无公害食品   渔用药物使用准则</w:t>
      </w:r>
    </w:p>
    <w:p>
      <w:pPr>
        <w:pStyle w:val="107"/>
        <w:spacing w:before="312" w:after="312"/>
      </w:pPr>
      <w:bookmarkStart w:id="51" w:name="_Toc148468722"/>
      <w:bookmarkStart w:id="52" w:name="_Toc148440177"/>
      <w:r>
        <w:rPr>
          <w:rFonts w:hint="eastAsia"/>
          <w:szCs w:val="21"/>
        </w:rPr>
        <w:t>术语和定义</w:t>
      </w:r>
      <w:bookmarkEnd w:id="48"/>
      <w:bookmarkEnd w:id="49"/>
      <w:bookmarkEnd w:id="50"/>
      <w:bookmarkEnd w:id="51"/>
      <w:bookmarkEnd w:id="52"/>
    </w:p>
    <w:sdt>
      <w:sdtPr>
        <w:id w:val="-1909835108"/>
        <w:placeholder>
          <w:docPart w:val="6487CBC52CDA411899EE844721D8354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53" w:name="_Toc26986532"/>
          <w:bookmarkEnd w:id="53"/>
          <w:r>
            <w:t>本文件没有需要界定的术语和定义。</w:t>
          </w:r>
        </w:p>
      </w:sdtContent>
    </w:sdt>
    <w:p>
      <w:pPr>
        <w:pStyle w:val="107"/>
        <w:spacing w:before="312" w:after="312"/>
        <w:rPr>
          <w:szCs w:val="21"/>
        </w:rPr>
      </w:pPr>
      <w:bookmarkStart w:id="54" w:name="_Toc148468723"/>
      <w:bookmarkStart w:id="55" w:name="_Toc148440178"/>
      <w:r>
        <w:rPr>
          <w:rFonts w:hint="eastAsia"/>
          <w:szCs w:val="21"/>
        </w:rPr>
        <w:t>养殖场环境条件</w:t>
      </w:r>
      <w:bookmarkEnd w:id="54"/>
      <w:bookmarkEnd w:id="55"/>
    </w:p>
    <w:p>
      <w:pPr>
        <w:pStyle w:val="108"/>
        <w:spacing w:before="156" w:after="156"/>
      </w:pPr>
      <w:bookmarkStart w:id="56" w:name="_Toc148468724"/>
      <w:bookmarkStart w:id="57" w:name="_Toc148440179"/>
      <w:bookmarkStart w:id="58" w:name="_Toc146104071"/>
      <w:bookmarkStart w:id="59" w:name="_Toc146120203"/>
      <w:r>
        <w:rPr>
          <w:rFonts w:hint="eastAsia"/>
        </w:rPr>
        <w:t>场址选择</w:t>
      </w:r>
      <w:bookmarkEnd w:id="56"/>
      <w:bookmarkEnd w:id="57"/>
    </w:p>
    <w:p>
      <w:pPr>
        <w:widowControl/>
        <w:autoSpaceDE w:val="0"/>
        <w:autoSpaceDN w:val="0"/>
        <w:adjustRightInd/>
        <w:spacing w:line="240" w:lineRule="auto"/>
        <w:ind w:firstLine="420" w:firstLineChars="200"/>
        <w:rPr>
          <w:rFonts w:ascii="宋体" w:hAnsi="宋体"/>
          <w:kern w:val="0"/>
        </w:rPr>
      </w:pPr>
      <w:r>
        <w:rPr>
          <w:rFonts w:hint="eastAsia" w:ascii="宋体" w:hAnsi="宋体"/>
          <w:kern w:val="0"/>
        </w:rPr>
        <w:t>应符合当前养殖水域涂滩规划的要求，供电正常，交通便利。水源水质应符合</w:t>
      </w:r>
      <w:r>
        <w:rPr>
          <w:rFonts w:ascii="Times New Roman" w:hAnsi="Times New Roman"/>
          <w:kern w:val="0"/>
        </w:rPr>
        <w:t>GB</w:t>
      </w:r>
      <w:r>
        <w:rPr>
          <w:rFonts w:hint="eastAsia" w:ascii="MS Gothic" w:hAnsi="MS Gothic" w:eastAsia="MS Gothic" w:cs="MS Gothic"/>
          <w:kern w:val="0"/>
        </w:rPr>
        <w:t> </w:t>
      </w:r>
      <w:r>
        <w:rPr>
          <w:rFonts w:hint="eastAsia" w:ascii="宋体" w:hAnsi="宋体"/>
          <w:kern w:val="0"/>
        </w:rPr>
        <w:t>11607的要求。</w:t>
      </w:r>
    </w:p>
    <w:p>
      <w:pPr>
        <w:pStyle w:val="108"/>
        <w:spacing w:before="156" w:after="156"/>
      </w:pPr>
      <w:bookmarkStart w:id="60" w:name="_Toc148440180"/>
      <w:bookmarkStart w:id="61" w:name="_Toc148468725"/>
      <w:r>
        <w:rPr>
          <w:rFonts w:hint="eastAsia"/>
        </w:rPr>
        <w:t>酸碱度（</w:t>
      </w:r>
      <w:r>
        <w:rPr>
          <w:rFonts w:ascii="Times New Roman"/>
        </w:rPr>
        <w:t>pH</w:t>
      </w:r>
      <w:r>
        <w:rPr>
          <w:rFonts w:hint="eastAsia"/>
        </w:rPr>
        <w:t>值）</w:t>
      </w:r>
      <w:bookmarkEnd w:id="60"/>
      <w:bookmarkEnd w:id="61"/>
    </w:p>
    <w:p>
      <w:pPr>
        <w:widowControl/>
        <w:autoSpaceDE w:val="0"/>
        <w:autoSpaceDN w:val="0"/>
        <w:adjustRightInd/>
        <w:spacing w:line="240" w:lineRule="auto"/>
        <w:ind w:firstLine="420" w:firstLineChars="200"/>
        <w:rPr>
          <w:rFonts w:ascii="宋体" w:hAnsi="Times New Roman"/>
          <w:kern w:val="0"/>
        </w:rPr>
      </w:pPr>
      <w:r>
        <w:rPr>
          <w:rFonts w:hint="eastAsia" w:ascii="宋体" w:hAnsi="宋体"/>
          <w:color w:val="000000" w:themeColor="text1"/>
          <w:kern w:val="0"/>
          <w14:textFill>
            <w14:solidFill>
              <w14:schemeClr w14:val="tx1"/>
            </w14:solidFill>
          </w14:textFill>
        </w:rPr>
        <w:t>应</w:t>
      </w:r>
      <w:r>
        <w:rPr>
          <w:rFonts w:hint="eastAsia" w:ascii="宋体" w:hAnsi="宋体"/>
          <w:kern w:val="0"/>
        </w:rPr>
        <w:t>为7.0～9.0。</w:t>
      </w:r>
    </w:p>
    <w:p>
      <w:pPr>
        <w:pStyle w:val="108"/>
        <w:spacing w:before="156" w:after="156"/>
      </w:pPr>
      <w:bookmarkStart w:id="62" w:name="_Toc148468726"/>
      <w:bookmarkStart w:id="63" w:name="_Toc148440181"/>
      <w:r>
        <w:rPr>
          <w:rFonts w:hint="eastAsia"/>
        </w:rPr>
        <w:t>盐度</w:t>
      </w:r>
      <w:bookmarkEnd w:id="62"/>
      <w:bookmarkEnd w:id="63"/>
    </w:p>
    <w:p>
      <w:pPr>
        <w:widowControl/>
        <w:autoSpaceDE w:val="0"/>
        <w:autoSpaceDN w:val="0"/>
        <w:adjustRightInd/>
        <w:spacing w:line="240" w:lineRule="auto"/>
        <w:ind w:firstLine="420" w:firstLineChars="200"/>
        <w:rPr>
          <w:rFonts w:ascii="宋体" w:hAnsi="Times New Roman"/>
          <w:kern w:val="0"/>
        </w:rPr>
      </w:pPr>
      <w:r>
        <w:rPr>
          <w:rFonts w:hint="eastAsia" w:ascii="宋体" w:hAnsi="宋体"/>
          <w:kern w:val="0"/>
        </w:rPr>
        <w:t>约为</w:t>
      </w:r>
      <w:r>
        <w:rPr>
          <w:rFonts w:hint="eastAsia" w:ascii="宋体" w:hAnsi="宋体"/>
          <w:color w:val="000000" w:themeColor="text1"/>
          <w:kern w:val="0"/>
          <w14:textFill>
            <w14:solidFill>
              <w14:schemeClr w14:val="tx1"/>
            </w14:solidFill>
          </w14:textFill>
        </w:rPr>
        <w:t>1‰</w:t>
      </w:r>
      <w:r>
        <w:rPr>
          <w:rFonts w:hint="eastAsia" w:ascii="宋体" w:hAnsi="宋体"/>
          <w:kern w:val="0"/>
        </w:rPr>
        <w:t>。</w:t>
      </w:r>
    </w:p>
    <w:p>
      <w:pPr>
        <w:pStyle w:val="107"/>
        <w:spacing w:before="312" w:after="312"/>
      </w:pPr>
      <w:bookmarkStart w:id="64" w:name="_Toc148468727"/>
      <w:bookmarkStart w:id="65" w:name="_Toc148440182"/>
      <w:r>
        <w:rPr>
          <w:rFonts w:hint="eastAsia"/>
        </w:rPr>
        <w:t>池塘要求</w:t>
      </w:r>
      <w:bookmarkEnd w:id="58"/>
      <w:bookmarkEnd w:id="59"/>
      <w:bookmarkEnd w:id="64"/>
      <w:bookmarkEnd w:id="65"/>
    </w:p>
    <w:p>
      <w:pPr>
        <w:pStyle w:val="108"/>
        <w:spacing w:before="156" w:after="156"/>
      </w:pPr>
      <w:bookmarkStart w:id="66" w:name="_Toc148440183"/>
      <w:bookmarkStart w:id="67" w:name="_Toc148468728"/>
      <w:bookmarkStart w:id="68" w:name="_Toc146104072"/>
      <w:bookmarkStart w:id="69" w:name="_Toc146120204"/>
      <w:r>
        <w:rPr>
          <w:rFonts w:hint="eastAsia"/>
        </w:rPr>
        <w:t>基础条件</w:t>
      </w:r>
      <w:bookmarkEnd w:id="66"/>
      <w:bookmarkEnd w:id="67"/>
    </w:p>
    <w:p>
      <w:pPr>
        <w:pStyle w:val="236"/>
        <w:ind w:firstLine="430" w:firstLineChars="0"/>
      </w:pPr>
      <w:r>
        <w:rPr>
          <w:rFonts w:hint="eastAsia" w:hAnsi="宋体"/>
        </w:rPr>
        <w:t>池塘面积667</w:t>
      </w:r>
      <w:r>
        <w:rPr>
          <w:rFonts w:hAnsi="宋体"/>
        </w:rPr>
        <w:t> </w:t>
      </w:r>
      <w:r>
        <w:rPr>
          <w:rFonts w:ascii="Times New Roman"/>
        </w:rPr>
        <w:t>m</w:t>
      </w:r>
      <w:r>
        <w:rPr>
          <w:rFonts w:ascii="Times New Roman"/>
          <w:vertAlign w:val="superscript"/>
        </w:rPr>
        <w:t>2</w:t>
      </w:r>
      <m:oMath>
        <m:r>
          <m:rPr>
            <m:sty m:val="p"/>
          </m:rPr>
          <w:rPr>
            <w:rFonts w:ascii="Cambria Math" w:hAnsi="Cambria Math"/>
          </w:rPr>
          <m:t>×</m:t>
        </m:r>
      </m:oMath>
      <w:r>
        <w:rPr>
          <w:rFonts w:hint="eastAsia" w:hAnsi="宋体"/>
        </w:rPr>
        <w:t>10</w:t>
      </w:r>
      <w:r>
        <w:rPr>
          <w:rFonts w:hint="eastAsia" w:hAnsi="宋体"/>
          <w:color w:val="000000" w:themeColor="text1"/>
          <w14:textFill>
            <w14:solidFill>
              <w14:schemeClr w14:val="tx1"/>
            </w14:solidFill>
          </w14:textFill>
        </w:rPr>
        <w:t>口</w:t>
      </w:r>
      <w:r>
        <w:rPr>
          <w:rFonts w:hint="eastAsia" w:hAnsi="宋体"/>
        </w:rPr>
        <w:t>，水深1.2</w:t>
      </w:r>
      <w:r>
        <w:rPr>
          <w:rFonts w:hAnsi="宋体"/>
        </w:rPr>
        <w:t> </w:t>
      </w:r>
      <w:r>
        <w:rPr>
          <w:rFonts w:ascii="Times New Roman"/>
        </w:rPr>
        <w:t>m</w:t>
      </w:r>
      <w:r>
        <w:rPr>
          <w:rFonts w:hint="eastAsia" w:hAnsi="宋体"/>
        </w:rPr>
        <w:t>～2.0</w:t>
      </w:r>
      <w:r>
        <w:rPr>
          <w:rFonts w:hAnsi="宋体"/>
        </w:rPr>
        <w:t> </w:t>
      </w:r>
      <w:r>
        <w:rPr>
          <w:rFonts w:hint="eastAsia" w:ascii="Times New Roman"/>
        </w:rPr>
        <w:t>m</w:t>
      </w:r>
      <w:r>
        <w:rPr>
          <w:rFonts w:hint="eastAsia" w:hAnsi="宋体"/>
        </w:rPr>
        <w:t>，进排水方便；池底应平整、不漏水。</w:t>
      </w:r>
    </w:p>
    <w:p>
      <w:pPr>
        <w:pStyle w:val="108"/>
        <w:spacing w:before="156" w:after="156"/>
      </w:pPr>
      <w:bookmarkStart w:id="70" w:name="_Toc148440184"/>
      <w:bookmarkStart w:id="71" w:name="_Toc148468729"/>
      <w:r>
        <w:rPr>
          <w:rFonts w:hint="eastAsia"/>
        </w:rPr>
        <w:t>配套设备</w:t>
      </w:r>
      <w:bookmarkEnd w:id="70"/>
      <w:bookmarkEnd w:id="71"/>
    </w:p>
    <w:p>
      <w:pPr>
        <w:pStyle w:val="236"/>
        <w:ind w:firstLine="409" w:firstLineChars="195"/>
      </w:pPr>
      <w:r>
        <w:rPr>
          <w:rFonts w:hint="eastAsia" w:hAnsi="宋体"/>
        </w:rPr>
        <w:t>每口池塘应配备1.5</w:t>
      </w:r>
      <w:r>
        <w:rPr>
          <w:rFonts w:hAnsi="宋体"/>
        </w:rPr>
        <w:t> </w:t>
      </w:r>
      <w:r>
        <w:rPr>
          <w:rFonts w:ascii="Times New Roman"/>
        </w:rPr>
        <w:t>kW·h</w:t>
      </w:r>
      <w:r>
        <w:rPr>
          <w:rFonts w:hint="eastAsia" w:hAnsi="宋体"/>
        </w:rPr>
        <w:t>的水车式增氧机2台、3.0</w:t>
      </w:r>
      <w:r>
        <w:rPr>
          <w:rFonts w:hAnsi="宋体"/>
        </w:rPr>
        <w:t> </w:t>
      </w:r>
      <w:r>
        <w:rPr>
          <w:rFonts w:ascii="Times New Roman"/>
        </w:rPr>
        <w:t>kW·h</w:t>
      </w:r>
      <w:r>
        <w:rPr>
          <w:rFonts w:hint="eastAsia" w:hAnsi="宋体"/>
        </w:rPr>
        <w:t>的叶轮式增氧机1台。</w:t>
      </w:r>
    </w:p>
    <w:bookmarkEnd w:id="68"/>
    <w:bookmarkEnd w:id="69"/>
    <w:p>
      <w:pPr>
        <w:pStyle w:val="107"/>
        <w:spacing w:before="312" w:after="312"/>
      </w:pPr>
      <w:bookmarkStart w:id="72" w:name="_Toc148468730"/>
      <w:bookmarkStart w:id="73" w:name="_Toc148440185"/>
      <w:r>
        <w:rPr>
          <w:rFonts w:hint="eastAsia"/>
        </w:rPr>
        <w:t>池水培养</w:t>
      </w:r>
      <w:bookmarkEnd w:id="72"/>
      <w:bookmarkEnd w:id="73"/>
    </w:p>
    <w:p>
      <w:pPr>
        <w:pStyle w:val="108"/>
        <w:spacing w:before="156" w:after="156"/>
      </w:pPr>
      <w:bookmarkStart w:id="74" w:name="_Toc148440186"/>
      <w:bookmarkStart w:id="75" w:name="_Toc148468731"/>
      <w:r>
        <w:rPr>
          <w:rFonts w:hint="eastAsia"/>
        </w:rPr>
        <w:t>清淤整池</w:t>
      </w:r>
      <w:bookmarkEnd w:id="74"/>
      <w:bookmarkEnd w:id="75"/>
    </w:p>
    <w:p>
      <w:pPr>
        <w:pStyle w:val="236"/>
        <w:widowControl w:val="0"/>
        <w:ind w:firstLine="420"/>
        <w:rPr>
          <w:rFonts w:hAnsi="宋体"/>
        </w:rPr>
      </w:pPr>
      <w:r>
        <w:rPr>
          <w:rFonts w:hint="eastAsia" w:hAnsi="宋体"/>
        </w:rPr>
        <w:t>每年冬季应将池水抽干，清除池塘底部杂物，整修塘埂、塘底，并用氧化钙（生石灰）或漂白粉化浆全池泼洒。常用清塘消毒药物及使用方法应符合表1的规定。</w:t>
      </w:r>
    </w:p>
    <w:p>
      <w:pPr>
        <w:pStyle w:val="115"/>
        <w:spacing w:before="156" w:after="156"/>
      </w:pPr>
      <w:r>
        <w:rPr>
          <w:rFonts w:hint="eastAsia"/>
        </w:rPr>
        <w:t>常用清塘消毒药物及使用方法</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995"/>
        <w:gridCol w:w="2126"/>
        <w:gridCol w:w="1843"/>
        <w:gridCol w:w="992"/>
        <w:gridCol w:w="24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995" w:type="dxa"/>
            <w:tcBorders>
              <w:top w:val="single" w:color="auto" w:sz="8" w:space="0"/>
              <w:bottom w:val="single" w:color="auto" w:sz="8" w:space="0"/>
            </w:tcBorders>
            <w:shd w:val="clear" w:color="auto" w:fill="auto"/>
          </w:tcPr>
          <w:p>
            <w:pPr>
              <w:pStyle w:val="236"/>
              <w:widowControl w:val="0"/>
              <w:ind w:firstLine="180" w:firstLineChars="100"/>
              <w:jc w:val="center"/>
              <w:rPr>
                <w:rFonts w:hAnsi="宋体"/>
                <w:sz w:val="18"/>
                <w:szCs w:val="18"/>
              </w:rPr>
            </w:pPr>
            <w:r>
              <w:rPr>
                <w:rFonts w:hint="eastAsia" w:hAnsi="宋体"/>
                <w:sz w:val="18"/>
                <w:szCs w:val="18"/>
              </w:rPr>
              <w:t>药物名称</w:t>
            </w:r>
          </w:p>
        </w:tc>
        <w:tc>
          <w:tcPr>
            <w:tcW w:w="3969" w:type="dxa"/>
            <w:gridSpan w:val="2"/>
            <w:tcBorders>
              <w:top w:val="single" w:color="auto" w:sz="8" w:space="0"/>
              <w:bottom w:val="single" w:color="auto" w:sz="8" w:space="0"/>
            </w:tcBorders>
            <w:shd w:val="clear" w:color="auto" w:fill="auto"/>
          </w:tcPr>
          <w:p>
            <w:pPr>
              <w:pStyle w:val="236"/>
              <w:widowControl w:val="0"/>
              <w:ind w:firstLine="0" w:firstLineChars="0"/>
              <w:jc w:val="center"/>
              <w:rPr>
                <w:rFonts w:hAnsi="宋体"/>
                <w:sz w:val="18"/>
                <w:szCs w:val="18"/>
              </w:rPr>
            </w:pPr>
            <w:r>
              <w:rPr>
                <w:rFonts w:hint="eastAsia" w:hAnsi="宋体"/>
                <w:sz w:val="18"/>
                <w:szCs w:val="18"/>
              </w:rPr>
              <w:t>用法和用量</w:t>
            </w:r>
          </w:p>
        </w:tc>
        <w:tc>
          <w:tcPr>
            <w:tcW w:w="992" w:type="dxa"/>
            <w:tcBorders>
              <w:top w:val="single" w:color="auto" w:sz="8" w:space="0"/>
              <w:bottom w:val="single" w:color="auto" w:sz="8" w:space="0"/>
            </w:tcBorders>
            <w:shd w:val="clear" w:color="auto" w:fill="auto"/>
          </w:tcPr>
          <w:p>
            <w:pPr>
              <w:widowControl/>
              <w:autoSpaceDE w:val="0"/>
              <w:autoSpaceDN w:val="0"/>
              <w:adjustRightInd/>
              <w:spacing w:line="240" w:lineRule="auto"/>
              <w:jc w:val="center"/>
              <w:rPr>
                <w:rFonts w:ascii="宋体" w:hAnsi="宋体"/>
                <w:kern w:val="0"/>
                <w:sz w:val="18"/>
                <w:szCs w:val="18"/>
              </w:rPr>
            </w:pPr>
            <w:r>
              <w:rPr>
                <w:rFonts w:hint="eastAsia" w:ascii="宋体" w:hAnsi="宋体"/>
                <w:kern w:val="0"/>
                <w:sz w:val="18"/>
                <w:szCs w:val="18"/>
              </w:rPr>
              <w:t>进水间隔</w:t>
            </w:r>
          </w:p>
        </w:tc>
        <w:tc>
          <w:tcPr>
            <w:tcW w:w="2418" w:type="dxa"/>
            <w:tcBorders>
              <w:top w:val="single" w:color="auto" w:sz="8" w:space="0"/>
              <w:bottom w:val="single" w:color="auto" w:sz="8" w:space="0"/>
            </w:tcBorders>
            <w:shd w:val="clear" w:color="auto" w:fill="auto"/>
          </w:tcPr>
          <w:p>
            <w:pPr>
              <w:pStyle w:val="239"/>
              <w:jc w:val="center"/>
              <w:rPr>
                <w:sz w:val="18"/>
                <w:szCs w:val="18"/>
              </w:rPr>
            </w:pPr>
            <w:r>
              <w:rPr>
                <w:rFonts w:hint="eastAsia" w:ascii="宋体" w:hAnsi="宋体"/>
                <w:sz w:val="18"/>
                <w:szCs w:val="18"/>
              </w:rPr>
              <w:t>注意事项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tcBorders>
              <w:top w:val="single" w:color="auto" w:sz="8" w:space="0"/>
            </w:tcBorders>
            <w:shd w:val="clear" w:color="auto" w:fill="auto"/>
            <w:vAlign w:val="center"/>
          </w:tcPr>
          <w:p>
            <w:pPr>
              <w:pStyle w:val="181"/>
            </w:pPr>
            <w:r>
              <w:rPr>
                <w:rFonts w:hint="eastAsia"/>
              </w:rPr>
              <w:t>氧化钙（生石灰）</w:t>
            </w:r>
          </w:p>
        </w:tc>
        <w:tc>
          <w:tcPr>
            <w:tcW w:w="3969" w:type="dxa"/>
            <w:gridSpan w:val="2"/>
            <w:tcBorders>
              <w:top w:val="single" w:color="auto" w:sz="8" w:space="0"/>
            </w:tcBorders>
            <w:shd w:val="clear" w:color="auto" w:fill="auto"/>
            <w:vAlign w:val="center"/>
          </w:tcPr>
          <w:p>
            <w:pPr>
              <w:pStyle w:val="181"/>
            </w:pPr>
            <w:r>
              <w:rPr>
                <w:rFonts w:hint="eastAsia"/>
              </w:rPr>
              <w:t>干塘泼洒，1</w:t>
            </w:r>
            <w:r>
              <w:rPr>
                <w:rFonts w:hint="eastAsia"/>
                <w:w w:val="25"/>
              </w:rPr>
              <w:t>　</w:t>
            </w:r>
            <w:r>
              <w:rPr>
                <w:rFonts w:hint="eastAsia"/>
              </w:rPr>
              <w:t>000</w:t>
            </w:r>
            <w:r>
              <w:rPr>
                <w:rFonts w:hint="eastAsia"/>
                <w:w w:val="25"/>
              </w:rPr>
              <w:t>　</w:t>
            </w:r>
            <w:r>
              <w:rPr>
                <w:rFonts w:ascii="Times New Roman"/>
              </w:rPr>
              <w:t>kg/ha</w:t>
            </w:r>
          </w:p>
        </w:tc>
        <w:tc>
          <w:tcPr>
            <w:tcW w:w="992" w:type="dxa"/>
            <w:tcBorders>
              <w:top w:val="single" w:color="auto" w:sz="8" w:space="0"/>
            </w:tcBorders>
            <w:shd w:val="clear" w:color="auto" w:fill="auto"/>
            <w:vAlign w:val="center"/>
          </w:tcPr>
          <w:p>
            <w:pPr>
              <w:pStyle w:val="181"/>
            </w:pPr>
            <w:r>
              <w:rPr>
                <w:rFonts w:hint="eastAsia"/>
              </w:rPr>
              <w:t>≥7</w:t>
            </w:r>
            <w:r>
              <w:rPr>
                <w:rFonts w:hint="eastAsia"/>
                <w:w w:val="25"/>
              </w:rPr>
              <w:t>　</w:t>
            </w:r>
            <w:r>
              <w:rPr>
                <w:rFonts w:ascii="Times New Roman"/>
              </w:rPr>
              <w:t>d</w:t>
            </w:r>
          </w:p>
        </w:tc>
        <w:tc>
          <w:tcPr>
            <w:tcW w:w="2418" w:type="dxa"/>
            <w:tcBorders>
              <w:top w:val="single" w:color="auto" w:sz="8" w:space="0"/>
            </w:tcBorders>
            <w:shd w:val="clear" w:color="auto" w:fill="auto"/>
            <w:vAlign w:val="center"/>
          </w:tcPr>
          <w:p>
            <w:pPr>
              <w:pStyle w:val="181"/>
              <w:jc w:val="left"/>
            </w:pPr>
            <w:r>
              <w:rPr>
                <w:rFonts w:hint="eastAsia"/>
              </w:rPr>
              <w:t>不应与漂白粉、有机氯、有机络合物联用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restart"/>
            <w:shd w:val="clear" w:color="auto" w:fill="auto"/>
            <w:vAlign w:val="center"/>
          </w:tcPr>
          <w:p>
            <w:pPr>
              <w:pStyle w:val="181"/>
              <w:rPr>
                <w:rFonts w:hAnsi="宋体"/>
                <w:szCs w:val="18"/>
              </w:rPr>
            </w:pPr>
            <w:r>
              <w:rPr>
                <w:rFonts w:hint="eastAsia" w:hAnsi="宋体"/>
                <w:szCs w:val="18"/>
              </w:rPr>
              <w:t>漂白粉/（有效氯≥28％）</w:t>
            </w:r>
          </w:p>
        </w:tc>
        <w:tc>
          <w:tcPr>
            <w:tcW w:w="2126" w:type="dxa"/>
            <w:shd w:val="clear" w:color="auto" w:fill="auto"/>
            <w:vAlign w:val="center"/>
          </w:tcPr>
          <w:p>
            <w:pPr>
              <w:pStyle w:val="181"/>
            </w:pPr>
            <w:r>
              <w:rPr>
                <w:rFonts w:hint="eastAsia"/>
              </w:rPr>
              <w:t>池塘水位5</w:t>
            </w:r>
            <w:r>
              <w:rPr>
                <w:rFonts w:hint="eastAsia"/>
                <w:w w:val="25"/>
              </w:rPr>
              <w:t>　</w:t>
            </w:r>
            <w:r>
              <w:rPr>
                <w:rFonts w:hint="eastAsia" w:ascii="Times New Roman"/>
              </w:rPr>
              <w:t>cm</w:t>
            </w:r>
            <w:r>
              <w:rPr>
                <w:rFonts w:hint="eastAsia"/>
              </w:rPr>
              <w:t>～10</w:t>
            </w:r>
            <w:r>
              <w:rPr>
                <w:rFonts w:hint="eastAsia"/>
                <w:w w:val="25"/>
              </w:rPr>
              <w:t>　</w:t>
            </w:r>
            <w:r>
              <w:rPr>
                <w:rFonts w:hint="eastAsia" w:ascii="Times New Roman"/>
              </w:rPr>
              <w:t>cm</w:t>
            </w:r>
          </w:p>
        </w:tc>
        <w:tc>
          <w:tcPr>
            <w:tcW w:w="1843" w:type="dxa"/>
            <w:shd w:val="clear" w:color="auto" w:fill="auto"/>
            <w:vAlign w:val="center"/>
          </w:tcPr>
          <w:p>
            <w:pPr>
              <w:pStyle w:val="181"/>
            </w:pPr>
            <w:r>
              <w:rPr>
                <w:rFonts w:hint="eastAsia"/>
              </w:rPr>
              <w:t>150</w:t>
            </w:r>
            <w:r>
              <w:rPr>
                <w:rFonts w:hint="eastAsia"/>
                <w:w w:val="25"/>
              </w:rPr>
              <w:t>　</w:t>
            </w:r>
            <w:r>
              <w:rPr>
                <w:rFonts w:hint="eastAsia" w:ascii="Times New Roman"/>
              </w:rPr>
              <w:t>kg/ha</w:t>
            </w:r>
            <w:r>
              <w:rPr>
                <w:rFonts w:hint="eastAsia"/>
              </w:rPr>
              <w:t>～225</w:t>
            </w:r>
            <w:r>
              <w:rPr>
                <w:rFonts w:hint="eastAsia"/>
                <w:w w:val="25"/>
              </w:rPr>
              <w:t>　</w:t>
            </w:r>
            <w:r>
              <w:rPr>
                <w:rFonts w:hint="eastAsia" w:ascii="Times New Roman"/>
              </w:rPr>
              <w:t>kg/ha</w:t>
            </w:r>
          </w:p>
        </w:tc>
        <w:tc>
          <w:tcPr>
            <w:tcW w:w="992" w:type="dxa"/>
            <w:vMerge w:val="restart"/>
            <w:shd w:val="clear" w:color="auto" w:fill="auto"/>
            <w:vAlign w:val="center"/>
          </w:tcPr>
          <w:p>
            <w:pPr>
              <w:pStyle w:val="181"/>
            </w:pPr>
            <w:r>
              <w:rPr>
                <w:rFonts w:hint="eastAsia"/>
              </w:rPr>
              <w:t>≥5</w:t>
            </w:r>
            <w:r>
              <w:rPr>
                <w:rFonts w:hint="eastAsia"/>
                <w:w w:val="25"/>
              </w:rPr>
              <w:t>　</w:t>
            </w:r>
            <w:r>
              <w:rPr>
                <w:rFonts w:ascii="Times New Roman"/>
              </w:rPr>
              <w:t>d</w:t>
            </w:r>
          </w:p>
        </w:tc>
        <w:tc>
          <w:tcPr>
            <w:tcW w:w="2418" w:type="dxa"/>
            <w:vMerge w:val="restart"/>
            <w:shd w:val="clear" w:color="auto" w:fill="auto"/>
            <w:vAlign w:val="center"/>
          </w:tcPr>
          <w:p>
            <w:pPr>
              <w:pStyle w:val="181"/>
              <w:jc w:val="left"/>
              <w:rPr>
                <w:rFonts w:hAnsi="宋体"/>
                <w:szCs w:val="18"/>
              </w:rPr>
            </w:pPr>
            <w:r>
              <w:rPr>
                <w:rFonts w:hint="eastAsia" w:hAnsi="宋体"/>
                <w:szCs w:val="18"/>
              </w:rPr>
              <w:t>不应用重金属容器盛装；不应与酸、生石灰混用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pStyle w:val="181"/>
            </w:pPr>
          </w:p>
        </w:tc>
        <w:tc>
          <w:tcPr>
            <w:tcW w:w="2126" w:type="dxa"/>
            <w:shd w:val="clear" w:color="auto" w:fill="auto"/>
            <w:vAlign w:val="center"/>
          </w:tcPr>
          <w:p>
            <w:pPr>
              <w:pStyle w:val="181"/>
            </w:pPr>
            <w:r>
              <w:rPr>
                <w:rFonts w:hint="eastAsia"/>
              </w:rPr>
              <w:t>池塘水位0.8</w:t>
            </w:r>
            <w:r>
              <w:rPr>
                <w:rFonts w:hint="eastAsia"/>
                <w:w w:val="25"/>
              </w:rPr>
              <w:t>　</w:t>
            </w:r>
            <w:r>
              <w:rPr>
                <w:rFonts w:hint="eastAsia" w:ascii="Times New Roman"/>
              </w:rPr>
              <w:t>m</w:t>
            </w:r>
          </w:p>
        </w:tc>
        <w:tc>
          <w:tcPr>
            <w:tcW w:w="1843" w:type="dxa"/>
            <w:shd w:val="clear" w:color="auto" w:fill="auto"/>
            <w:vAlign w:val="center"/>
          </w:tcPr>
          <w:p>
            <w:pPr>
              <w:pStyle w:val="181"/>
            </w:pPr>
            <w:r>
              <w:t>750</w:t>
            </w:r>
            <w:r>
              <w:rPr>
                <w:rFonts w:hint="eastAsia"/>
                <w:w w:val="25"/>
              </w:rPr>
              <w:t>　</w:t>
            </w:r>
            <w:r>
              <w:rPr>
                <w:rFonts w:ascii="Times New Roman"/>
              </w:rPr>
              <w:t>kg/ha</w:t>
            </w:r>
          </w:p>
        </w:tc>
        <w:tc>
          <w:tcPr>
            <w:tcW w:w="992" w:type="dxa"/>
            <w:vMerge w:val="continue"/>
            <w:shd w:val="clear" w:color="auto" w:fill="auto"/>
            <w:vAlign w:val="center"/>
          </w:tcPr>
          <w:p>
            <w:pPr>
              <w:pStyle w:val="181"/>
            </w:pPr>
          </w:p>
        </w:tc>
        <w:tc>
          <w:tcPr>
            <w:tcW w:w="2418" w:type="dxa"/>
            <w:vMerge w:val="continue"/>
            <w:shd w:val="clear" w:color="auto" w:fill="auto"/>
            <w:vAlign w:val="center"/>
          </w:tcPr>
          <w:p>
            <w:pPr>
              <w:pStyle w:val="181"/>
            </w:pPr>
          </w:p>
        </w:tc>
      </w:tr>
    </w:tbl>
    <w:p>
      <w:pPr>
        <w:pStyle w:val="108"/>
        <w:spacing w:before="156" w:after="156"/>
      </w:pPr>
      <w:bookmarkStart w:id="76" w:name="_Toc148440187"/>
      <w:bookmarkStart w:id="77" w:name="_Toc148468732"/>
      <w:r>
        <w:rPr>
          <w:rFonts w:hint="eastAsia"/>
        </w:rPr>
        <w:t>池塘进水</w:t>
      </w:r>
      <w:bookmarkEnd w:id="76"/>
      <w:bookmarkEnd w:id="77"/>
    </w:p>
    <w:p>
      <w:pPr>
        <w:pStyle w:val="168"/>
      </w:pPr>
      <w:r>
        <w:rPr>
          <w:rFonts w:hint="eastAsia"/>
        </w:rPr>
        <w:t>虾苗放养前10</w:t>
      </w:r>
      <w:r>
        <w:rPr>
          <w:rFonts w:hint="eastAsia"/>
          <w:w w:val="25"/>
        </w:rPr>
        <w:t>　</w:t>
      </w:r>
      <w:r>
        <w:rPr>
          <w:rFonts w:ascii="Times New Roman"/>
        </w:rPr>
        <w:t>d池塘</w:t>
      </w:r>
      <w:r>
        <w:rPr>
          <w:rFonts w:hint="eastAsia"/>
        </w:rPr>
        <w:t>应开始进水，同时使用60目孔径的长条型筛绢网袋过滤，防止野杂鱼虾等进入池塘。</w:t>
      </w:r>
    </w:p>
    <w:p>
      <w:pPr>
        <w:pStyle w:val="168"/>
      </w:pPr>
      <w:r>
        <w:rPr>
          <w:rFonts w:hint="eastAsia"/>
        </w:rPr>
        <w:t>首次进水应将池水灌至0.8</w:t>
      </w:r>
      <w:r>
        <w:t> </w:t>
      </w:r>
      <w:r>
        <w:rPr>
          <w:rFonts w:ascii="Times New Roman"/>
        </w:rPr>
        <w:t>m</w:t>
      </w:r>
      <w:r>
        <w:rPr>
          <w:rFonts w:hint="eastAsia"/>
        </w:rPr>
        <w:t>，然后使用茶子饼200</w:t>
      </w:r>
      <w:r>
        <w:rPr>
          <w:rFonts w:hint="eastAsia"/>
          <w:w w:val="25"/>
        </w:rPr>
        <w:t>　</w:t>
      </w:r>
      <w:r>
        <w:rPr>
          <w:rFonts w:ascii="Times New Roman"/>
        </w:rPr>
        <w:t>kg/ha</w:t>
      </w:r>
      <w:r>
        <w:rPr>
          <w:rFonts w:hint="eastAsia"/>
        </w:rPr>
        <w:t xml:space="preserve"> 杀杂鱼并同时肥水。</w:t>
      </w:r>
    </w:p>
    <w:p>
      <w:pPr>
        <w:pStyle w:val="168"/>
      </w:pPr>
      <w:r>
        <w:rPr>
          <w:rFonts w:hint="eastAsia"/>
        </w:rPr>
        <w:t>在放养前1</w:t>
      </w:r>
      <w:r>
        <w:rPr>
          <w:rFonts w:hint="eastAsia"/>
          <w:w w:val="25"/>
        </w:rPr>
        <w:t>　</w:t>
      </w:r>
      <w:r>
        <w:rPr>
          <w:rFonts w:ascii="Times New Roman"/>
        </w:rPr>
        <w:t>d</w:t>
      </w:r>
      <w:r>
        <w:rPr>
          <w:rFonts w:hint="eastAsia"/>
        </w:rPr>
        <w:t>，池塘应投放复合微生物制剂，把池水培育成黄绿色或茶褐色。</w:t>
      </w:r>
    </w:p>
    <w:p>
      <w:pPr>
        <w:pStyle w:val="107"/>
        <w:spacing w:before="312" w:after="312"/>
      </w:pPr>
      <w:bookmarkStart w:id="78" w:name="_Toc148468733"/>
      <w:bookmarkStart w:id="79" w:name="_Toc148440188"/>
      <w:r>
        <w:rPr>
          <w:rFonts w:hint="eastAsia"/>
        </w:rPr>
        <w:t>苗种放养</w:t>
      </w:r>
      <w:bookmarkEnd w:id="78"/>
      <w:bookmarkEnd w:id="79"/>
    </w:p>
    <w:p>
      <w:pPr>
        <w:pStyle w:val="108"/>
        <w:spacing w:before="156" w:after="156"/>
      </w:pPr>
      <w:bookmarkStart w:id="80" w:name="_Toc148440189"/>
      <w:bookmarkStart w:id="81" w:name="_Toc148468734"/>
      <w:r>
        <w:rPr>
          <w:rFonts w:hint="eastAsia"/>
        </w:rPr>
        <w:t>苗种选择</w:t>
      </w:r>
      <w:bookmarkEnd w:id="80"/>
      <w:bookmarkEnd w:id="81"/>
    </w:p>
    <w:p>
      <w:pPr>
        <w:pStyle w:val="168"/>
      </w:pPr>
      <w:r>
        <w:rPr>
          <w:rFonts w:hint="eastAsia"/>
        </w:rPr>
        <w:t>南美白对虾规格为每尾0.6</w:t>
      </w:r>
      <w:r>
        <w:rPr>
          <w:rFonts w:hint="eastAsia"/>
          <w:w w:val="25"/>
        </w:rPr>
        <w:t>　</w:t>
      </w:r>
      <w:r>
        <w:rPr>
          <w:rFonts w:hint="eastAsia" w:ascii="Times New Roman"/>
        </w:rPr>
        <w:t>cm</w:t>
      </w:r>
      <w:r>
        <w:rPr>
          <w:rFonts w:hint="eastAsia"/>
        </w:rPr>
        <w:t>～0.8</w:t>
      </w:r>
      <w:r>
        <w:rPr>
          <w:rFonts w:hint="eastAsia"/>
          <w:w w:val="25"/>
        </w:rPr>
        <w:t>　</w:t>
      </w:r>
      <w:r>
        <w:rPr>
          <w:rFonts w:hint="eastAsia" w:ascii="Times New Roman"/>
        </w:rPr>
        <w:t>cm</w:t>
      </w:r>
      <w:r>
        <w:rPr>
          <w:rFonts w:hint="eastAsia"/>
        </w:rPr>
        <w:t>、体表干净、无伤残、肠胃饱满、健壮活泼。放苗前应先进行南美白对虾斑综合征、传染性皮下及造血组织坏死病、桃拉综合征、副溶血弧菌等病原检测，检测结果应为阴性。</w:t>
      </w:r>
    </w:p>
    <w:p>
      <w:pPr>
        <w:pStyle w:val="168"/>
      </w:pPr>
      <w:r>
        <w:rPr>
          <w:rFonts w:hint="eastAsia"/>
        </w:rPr>
        <w:t>罗氏沼虾应选择“南太湖</w:t>
      </w:r>
      <w:r>
        <w:rPr>
          <w:rFonts w:hint="eastAsia"/>
          <w:lang w:val="en-US" w:eastAsia="zh-CN"/>
        </w:rPr>
        <w:t>3</w:t>
      </w:r>
      <w:r>
        <w:rPr>
          <w:rFonts w:hint="eastAsia"/>
        </w:rPr>
        <w:t>号”虾苗，规格为每尾约0.8</w:t>
      </w:r>
      <w:r>
        <w:rPr>
          <w:rFonts w:hint="eastAsia"/>
          <w:w w:val="25"/>
        </w:rPr>
        <w:t>　</w:t>
      </w:r>
      <w:r>
        <w:rPr>
          <w:rFonts w:hint="eastAsia" w:ascii="Times New Roman"/>
        </w:rPr>
        <w:t>cm</w:t>
      </w:r>
      <w:r>
        <w:rPr>
          <w:rFonts w:hint="eastAsia"/>
        </w:rPr>
        <w:t xml:space="preserve"> 。</w:t>
      </w:r>
    </w:p>
    <w:p>
      <w:pPr>
        <w:pStyle w:val="108"/>
        <w:spacing w:before="156" w:after="156"/>
      </w:pPr>
      <w:bookmarkStart w:id="82" w:name="_Toc148440190"/>
      <w:bookmarkStart w:id="83" w:name="_Toc148468735"/>
      <w:r>
        <w:rPr>
          <w:rFonts w:hint="eastAsia"/>
        </w:rPr>
        <w:t>苗种放养</w:t>
      </w:r>
      <w:bookmarkEnd w:id="82"/>
      <w:bookmarkEnd w:id="83"/>
    </w:p>
    <w:p>
      <w:pPr>
        <w:pStyle w:val="168"/>
        <w:rPr>
          <w:rFonts w:ascii="黑体" w:hAnsi="黑体" w:eastAsia="黑体"/>
        </w:rPr>
      </w:pPr>
      <w:r>
        <w:rPr>
          <w:rFonts w:hint="eastAsia" w:ascii="黑体" w:hAnsi="黑体" w:eastAsia="黑体"/>
        </w:rPr>
        <w:t>放养时间</w:t>
      </w:r>
    </w:p>
    <w:p>
      <w:pPr>
        <w:pStyle w:val="167"/>
      </w:pPr>
      <w:bookmarkStart w:id="84" w:name="_Toc148440191"/>
      <w:r>
        <w:rPr>
          <w:rFonts w:hint="eastAsia"/>
        </w:rPr>
        <w:t>南美对白虾苗放养时间一般在3月下旬至4月中旬，如有大棚套小棚的可提前到2月底至3月上旬，大棚内池塘水温应在22</w:t>
      </w:r>
      <w:r>
        <w:rPr>
          <w:rFonts w:hint="eastAsia"/>
          <w:w w:val="25"/>
        </w:rPr>
        <w:t>　</w:t>
      </w:r>
      <w:r>
        <w:rPr>
          <w:rFonts w:hint="eastAsia"/>
        </w:rPr>
        <w:t>℃以上。</w:t>
      </w:r>
    </w:p>
    <w:p>
      <w:pPr>
        <w:pStyle w:val="167"/>
      </w:pPr>
      <w:r>
        <w:rPr>
          <w:rFonts w:hint="eastAsia"/>
        </w:rPr>
        <w:t>罗氏沼虾放养时间一般在5月下旬至6月中旬，室外池塘水温应在25</w:t>
      </w:r>
      <w:r>
        <w:rPr>
          <w:rFonts w:hint="eastAsia"/>
          <w:w w:val="25"/>
        </w:rPr>
        <w:t>　</w:t>
      </w:r>
      <w:r>
        <w:rPr>
          <w:rFonts w:hint="eastAsia"/>
        </w:rPr>
        <w:t>℃以上。</w:t>
      </w:r>
      <w:bookmarkEnd w:id="84"/>
    </w:p>
    <w:p>
      <w:pPr>
        <w:pStyle w:val="168"/>
        <w:rPr>
          <w:rFonts w:ascii="黑体" w:hAnsi="黑体" w:eastAsia="黑体"/>
        </w:rPr>
      </w:pPr>
      <w:r>
        <w:rPr>
          <w:rFonts w:hint="eastAsia" w:ascii="黑体" w:hAnsi="黑体" w:eastAsia="黑体"/>
        </w:rPr>
        <w:t>放养比例</w:t>
      </w:r>
    </w:p>
    <w:p>
      <w:pPr>
        <w:pStyle w:val="59"/>
        <w:ind w:firstLine="420"/>
      </w:pPr>
      <w:r>
        <w:rPr>
          <w:rFonts w:hint="eastAsia"/>
        </w:rPr>
        <w:t>混养比例应符合按表2的规定</w:t>
      </w:r>
    </w:p>
    <w:p>
      <w:pPr>
        <w:pStyle w:val="115"/>
        <w:spacing w:before="156" w:after="156"/>
      </w:pPr>
      <w:r>
        <w:rPr>
          <w:rFonts w:hint="eastAsia"/>
        </w:rPr>
        <w:t>混养比例</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24"/>
        <w:gridCol w:w="3125"/>
        <w:gridCol w:w="31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24" w:type="dxa"/>
            <w:tcBorders>
              <w:top w:val="single" w:color="auto" w:sz="8" w:space="0"/>
              <w:bottom w:val="single" w:color="auto" w:sz="8" w:space="0"/>
            </w:tcBorders>
            <w:shd w:val="clear" w:color="auto" w:fill="auto"/>
          </w:tcPr>
          <w:p>
            <w:pPr>
              <w:pStyle w:val="59"/>
              <w:ind w:firstLine="0" w:firstLineChars="0"/>
              <w:jc w:val="center"/>
              <w:rPr>
                <w:sz w:val="18"/>
                <w:szCs w:val="18"/>
              </w:rPr>
            </w:pPr>
            <w:r>
              <w:rPr>
                <w:rFonts w:hint="eastAsia"/>
                <w:sz w:val="18"/>
                <w:szCs w:val="18"/>
              </w:rPr>
              <w:t>苗种</w:t>
            </w:r>
          </w:p>
        </w:tc>
        <w:tc>
          <w:tcPr>
            <w:tcW w:w="3125" w:type="dxa"/>
            <w:tcBorders>
              <w:top w:val="single" w:color="auto" w:sz="8" w:space="0"/>
              <w:bottom w:val="single" w:color="auto" w:sz="8" w:space="0"/>
            </w:tcBorders>
            <w:shd w:val="clear" w:color="auto" w:fill="auto"/>
          </w:tcPr>
          <w:p>
            <w:pPr>
              <w:pStyle w:val="59"/>
              <w:ind w:firstLine="0" w:firstLineChars="0"/>
              <w:jc w:val="center"/>
              <w:rPr>
                <w:sz w:val="18"/>
                <w:szCs w:val="18"/>
              </w:rPr>
            </w:pPr>
            <w:r>
              <w:rPr>
                <w:rFonts w:hint="eastAsia"/>
                <w:sz w:val="18"/>
                <w:szCs w:val="18"/>
              </w:rPr>
              <w:t>规格</w:t>
            </w:r>
          </w:p>
        </w:tc>
        <w:tc>
          <w:tcPr>
            <w:tcW w:w="3125" w:type="dxa"/>
            <w:tcBorders>
              <w:top w:val="single" w:color="auto" w:sz="8" w:space="0"/>
              <w:bottom w:val="single" w:color="auto" w:sz="8" w:space="0"/>
            </w:tcBorders>
            <w:shd w:val="clear" w:color="auto" w:fill="auto"/>
          </w:tcPr>
          <w:p>
            <w:pPr>
              <w:pStyle w:val="59"/>
              <w:ind w:firstLine="0" w:firstLineChars="0"/>
              <w:jc w:val="center"/>
              <w:rPr>
                <w:sz w:val="18"/>
                <w:szCs w:val="18"/>
              </w:rPr>
            </w:pPr>
            <w:r>
              <w:rPr>
                <w:rFonts w:hint="eastAsia"/>
                <w:sz w:val="18"/>
                <w:szCs w:val="18"/>
              </w:rPr>
              <w:t>数量/尾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4" w:type="dxa"/>
            <w:tcBorders>
              <w:top w:val="single" w:color="auto" w:sz="8" w:space="0"/>
            </w:tcBorders>
            <w:shd w:val="clear" w:color="auto" w:fill="auto"/>
          </w:tcPr>
          <w:p>
            <w:pPr>
              <w:pStyle w:val="59"/>
              <w:ind w:firstLine="0" w:firstLineChars="0"/>
              <w:jc w:val="center"/>
              <w:rPr>
                <w:sz w:val="18"/>
                <w:szCs w:val="18"/>
              </w:rPr>
            </w:pPr>
            <w:r>
              <w:rPr>
                <w:rFonts w:hint="eastAsia"/>
                <w:sz w:val="18"/>
                <w:szCs w:val="18"/>
              </w:rPr>
              <w:t>南美对白虾</w:t>
            </w:r>
          </w:p>
        </w:tc>
        <w:tc>
          <w:tcPr>
            <w:tcW w:w="3125" w:type="dxa"/>
            <w:tcBorders>
              <w:top w:val="single" w:color="auto" w:sz="8" w:space="0"/>
            </w:tcBorders>
            <w:shd w:val="clear" w:color="auto" w:fill="auto"/>
          </w:tcPr>
          <w:p>
            <w:pPr>
              <w:pStyle w:val="59"/>
              <w:ind w:firstLine="0" w:firstLineChars="0"/>
              <w:jc w:val="center"/>
              <w:rPr>
                <w:sz w:val="18"/>
                <w:szCs w:val="18"/>
              </w:rPr>
            </w:pPr>
            <w:r>
              <w:rPr>
                <w:rFonts w:hint="eastAsia"/>
                <w:sz w:val="18"/>
                <w:szCs w:val="18"/>
              </w:rPr>
              <w:t>（0.6</w:t>
            </w:r>
            <w:r>
              <w:rPr>
                <w:rFonts w:hint="eastAsia"/>
                <w:w w:val="25"/>
                <w:sz w:val="18"/>
                <w:szCs w:val="18"/>
              </w:rPr>
              <w:t>　</w:t>
            </w:r>
            <w:r>
              <w:rPr>
                <w:rFonts w:ascii="Times New Roman"/>
                <w:sz w:val="18"/>
                <w:szCs w:val="18"/>
              </w:rPr>
              <w:t>cm</w:t>
            </w:r>
            <w:r>
              <w:rPr>
                <w:rFonts w:hint="eastAsia"/>
                <w:sz w:val="18"/>
                <w:szCs w:val="18"/>
              </w:rPr>
              <w:t>～0.8</w:t>
            </w:r>
            <w:r>
              <w:rPr>
                <w:rFonts w:hint="eastAsia"/>
                <w:w w:val="25"/>
                <w:sz w:val="18"/>
                <w:szCs w:val="18"/>
              </w:rPr>
              <w:t>　</w:t>
            </w:r>
            <w:r>
              <w:rPr>
                <w:rFonts w:ascii="Times New Roman"/>
                <w:sz w:val="18"/>
                <w:szCs w:val="18"/>
              </w:rPr>
              <w:t>cm</w:t>
            </w:r>
            <w:r>
              <w:rPr>
                <w:rFonts w:hint="eastAsia"/>
                <w:sz w:val="18"/>
                <w:szCs w:val="18"/>
              </w:rPr>
              <w:t>）/尾</w:t>
            </w:r>
          </w:p>
        </w:tc>
        <w:tc>
          <w:tcPr>
            <w:tcW w:w="3125" w:type="dxa"/>
            <w:tcBorders>
              <w:top w:val="single" w:color="auto" w:sz="8" w:space="0"/>
            </w:tcBorders>
            <w:shd w:val="clear" w:color="auto" w:fill="auto"/>
          </w:tcPr>
          <w:p>
            <w:pPr>
              <w:pStyle w:val="59"/>
              <w:ind w:firstLine="0" w:firstLineChars="0"/>
              <w:jc w:val="center"/>
              <w:rPr>
                <w:sz w:val="18"/>
                <w:szCs w:val="18"/>
              </w:rPr>
            </w:pPr>
            <w:r>
              <w:rPr>
                <w:rFonts w:hint="eastAsia"/>
                <w:sz w:val="18"/>
                <w:szCs w:val="18"/>
              </w:rPr>
              <w:t>100</w:t>
            </w:r>
            <w:r>
              <w:rPr>
                <w:rFonts w:hint="eastAsia"/>
                <w:w w:val="25"/>
                <w:sz w:val="18"/>
                <w:szCs w:val="18"/>
              </w:rPr>
              <w:t>　</w:t>
            </w:r>
            <w:r>
              <w:rPr>
                <w:rFonts w:hint="eastAsia"/>
                <w:sz w:val="18"/>
                <w:szCs w:val="18"/>
              </w:rPr>
              <w:t>000～200</w:t>
            </w:r>
            <w:r>
              <w:rPr>
                <w:rFonts w:hint="eastAsia"/>
                <w:w w:val="25"/>
                <w:sz w:val="18"/>
                <w:szCs w:val="18"/>
              </w:rPr>
              <w:t>　</w:t>
            </w:r>
            <w:r>
              <w:rPr>
                <w:rFonts w:hint="eastAsia"/>
                <w:sz w:val="18"/>
                <w:szCs w:val="18"/>
              </w:rPr>
              <w:t>000</w:t>
            </w:r>
          </w:p>
        </w:tc>
      </w:tr>
    </w:tbl>
    <w:p>
      <w:pPr>
        <w:pStyle w:val="59"/>
        <w:ind w:firstLine="420"/>
        <w:rPr>
          <w:rFonts w:hint="eastAsia"/>
        </w:rPr>
      </w:pPr>
    </w:p>
    <w:p>
      <w:pPr>
        <w:pStyle w:val="59"/>
        <w:spacing w:before="156" w:beforeLines="50" w:after="156" w:afterLines="50"/>
        <w:ind w:firstLine="0" w:firstLineChars="0"/>
        <w:jc w:val="center"/>
        <w:rPr>
          <w:rFonts w:ascii="黑体" w:hAnsi="黑体" w:eastAsia="黑体"/>
        </w:rPr>
      </w:pPr>
      <w:r>
        <w:rPr>
          <w:rFonts w:hint="eastAsia" w:ascii="黑体" w:hAnsi="黑体" w:eastAsia="黑体"/>
        </w:rPr>
        <w:t>表2  混养比例</w:t>
      </w:r>
      <w:r>
        <w:rPr>
          <w:rFonts w:hint="eastAsia" w:hAnsi="宋体"/>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24"/>
        <w:gridCol w:w="3125"/>
        <w:gridCol w:w="31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24" w:type="dxa"/>
            <w:tcBorders>
              <w:top w:val="single" w:color="auto" w:sz="8" w:space="0"/>
              <w:bottom w:val="single" w:color="auto" w:sz="8" w:space="0"/>
            </w:tcBorders>
            <w:shd w:val="clear" w:color="auto" w:fill="auto"/>
          </w:tcPr>
          <w:p>
            <w:pPr>
              <w:pStyle w:val="59"/>
              <w:ind w:firstLine="0" w:firstLineChars="0"/>
              <w:jc w:val="center"/>
              <w:rPr>
                <w:sz w:val="18"/>
                <w:szCs w:val="18"/>
              </w:rPr>
            </w:pPr>
            <w:r>
              <w:rPr>
                <w:rFonts w:hint="eastAsia"/>
                <w:sz w:val="18"/>
                <w:szCs w:val="18"/>
              </w:rPr>
              <w:t>苗种</w:t>
            </w:r>
          </w:p>
        </w:tc>
        <w:tc>
          <w:tcPr>
            <w:tcW w:w="3125" w:type="dxa"/>
            <w:tcBorders>
              <w:top w:val="single" w:color="auto" w:sz="8" w:space="0"/>
              <w:bottom w:val="single" w:color="auto" w:sz="8" w:space="0"/>
            </w:tcBorders>
            <w:shd w:val="clear" w:color="auto" w:fill="auto"/>
          </w:tcPr>
          <w:p>
            <w:pPr>
              <w:pStyle w:val="59"/>
              <w:ind w:firstLine="0" w:firstLineChars="0"/>
              <w:jc w:val="center"/>
              <w:rPr>
                <w:sz w:val="18"/>
                <w:szCs w:val="18"/>
              </w:rPr>
            </w:pPr>
            <w:r>
              <w:rPr>
                <w:rFonts w:hint="eastAsia"/>
                <w:sz w:val="18"/>
                <w:szCs w:val="18"/>
              </w:rPr>
              <w:t>规格</w:t>
            </w:r>
          </w:p>
        </w:tc>
        <w:tc>
          <w:tcPr>
            <w:tcW w:w="3125" w:type="dxa"/>
            <w:tcBorders>
              <w:top w:val="single" w:color="auto" w:sz="8" w:space="0"/>
              <w:bottom w:val="single" w:color="auto" w:sz="8" w:space="0"/>
            </w:tcBorders>
            <w:shd w:val="clear" w:color="auto" w:fill="auto"/>
          </w:tcPr>
          <w:p>
            <w:pPr>
              <w:pStyle w:val="59"/>
              <w:ind w:firstLine="0" w:firstLineChars="0"/>
              <w:jc w:val="center"/>
              <w:rPr>
                <w:sz w:val="18"/>
                <w:szCs w:val="18"/>
              </w:rPr>
            </w:pPr>
            <w:r>
              <w:rPr>
                <w:rFonts w:hint="eastAsia"/>
                <w:sz w:val="18"/>
                <w:szCs w:val="18"/>
              </w:rPr>
              <w:t>数量/尾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4" w:type="dxa"/>
            <w:shd w:val="clear" w:color="auto" w:fill="auto"/>
          </w:tcPr>
          <w:p>
            <w:pPr>
              <w:pStyle w:val="59"/>
              <w:ind w:firstLine="0" w:firstLineChars="0"/>
              <w:jc w:val="center"/>
              <w:rPr>
                <w:sz w:val="18"/>
                <w:szCs w:val="18"/>
              </w:rPr>
            </w:pPr>
            <w:r>
              <w:rPr>
                <w:rFonts w:hint="eastAsia"/>
                <w:sz w:val="18"/>
                <w:szCs w:val="18"/>
              </w:rPr>
              <w:t>罗氏沼虾</w:t>
            </w:r>
          </w:p>
        </w:tc>
        <w:tc>
          <w:tcPr>
            <w:tcW w:w="3125" w:type="dxa"/>
            <w:shd w:val="clear" w:color="auto" w:fill="auto"/>
          </w:tcPr>
          <w:p>
            <w:pPr>
              <w:pStyle w:val="59"/>
              <w:ind w:firstLine="0" w:firstLineChars="0"/>
              <w:jc w:val="center"/>
              <w:rPr>
                <w:sz w:val="18"/>
                <w:szCs w:val="18"/>
              </w:rPr>
            </w:pPr>
            <w:r>
              <w:rPr>
                <w:rFonts w:hint="eastAsia"/>
                <w:sz w:val="18"/>
                <w:szCs w:val="18"/>
              </w:rPr>
              <w:t>0.8</w:t>
            </w:r>
            <w:r>
              <w:rPr>
                <w:rFonts w:hint="eastAsia"/>
                <w:w w:val="25"/>
                <w:sz w:val="18"/>
                <w:szCs w:val="18"/>
              </w:rPr>
              <w:t>　</w:t>
            </w:r>
            <w:r>
              <w:rPr>
                <w:rFonts w:ascii="Times New Roman"/>
                <w:sz w:val="18"/>
                <w:szCs w:val="18"/>
              </w:rPr>
              <w:t>cm</w:t>
            </w:r>
            <w:r>
              <w:rPr>
                <w:rFonts w:hint="eastAsia"/>
                <w:sz w:val="18"/>
                <w:szCs w:val="18"/>
              </w:rPr>
              <w:t>/尾</w:t>
            </w:r>
          </w:p>
        </w:tc>
        <w:tc>
          <w:tcPr>
            <w:tcW w:w="3125" w:type="dxa"/>
            <w:shd w:val="clear" w:color="auto" w:fill="auto"/>
          </w:tcPr>
          <w:p>
            <w:pPr>
              <w:pStyle w:val="59"/>
              <w:ind w:firstLine="0" w:firstLineChars="0"/>
              <w:jc w:val="center"/>
              <w:rPr>
                <w:sz w:val="18"/>
                <w:szCs w:val="18"/>
              </w:rPr>
            </w:pPr>
            <w:r>
              <w:rPr>
                <w:rFonts w:hint="eastAsia"/>
                <w:sz w:val="18"/>
                <w:szCs w:val="18"/>
              </w:rPr>
              <w:t>5</w:t>
            </w:r>
            <w:r>
              <w:rPr>
                <w:rFonts w:hint="eastAsia"/>
                <w:w w:val="25"/>
                <w:sz w:val="18"/>
                <w:szCs w:val="18"/>
              </w:rPr>
              <w:t>　</w:t>
            </w:r>
            <w:r>
              <w:rPr>
                <w:rFonts w:hint="eastAsia"/>
                <w:sz w:val="18"/>
                <w:szCs w:val="18"/>
              </w:rPr>
              <w:t>000～10</w:t>
            </w:r>
            <w:r>
              <w:rPr>
                <w:rFonts w:hint="eastAsia"/>
                <w:w w:val="25"/>
                <w:sz w:val="18"/>
                <w:szCs w:val="18"/>
              </w:rPr>
              <w:t>　</w:t>
            </w:r>
            <w:r>
              <w:rPr>
                <w:rFonts w:hint="eastAsia"/>
                <w:sz w:val="18"/>
                <w:szCs w:val="18"/>
              </w:rPr>
              <w:t>000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4" w:type="dxa"/>
            <w:shd w:val="clear" w:color="auto" w:fill="auto"/>
          </w:tcPr>
          <w:p>
            <w:pPr>
              <w:pStyle w:val="59"/>
              <w:ind w:firstLine="0" w:firstLineChars="0"/>
              <w:jc w:val="center"/>
              <w:rPr>
                <w:sz w:val="18"/>
                <w:szCs w:val="18"/>
              </w:rPr>
            </w:pPr>
            <w:r>
              <w:rPr>
                <w:rFonts w:hint="eastAsia"/>
                <w:sz w:val="18"/>
                <w:szCs w:val="18"/>
              </w:rPr>
              <w:t>草鱼</w:t>
            </w:r>
          </w:p>
        </w:tc>
        <w:tc>
          <w:tcPr>
            <w:tcW w:w="3125" w:type="dxa"/>
            <w:shd w:val="clear" w:color="auto" w:fill="auto"/>
          </w:tcPr>
          <w:p>
            <w:pPr>
              <w:pStyle w:val="59"/>
              <w:ind w:firstLine="0" w:firstLineChars="0"/>
              <w:jc w:val="center"/>
              <w:rPr>
                <w:sz w:val="18"/>
                <w:szCs w:val="18"/>
              </w:rPr>
            </w:pPr>
            <w:r>
              <w:rPr>
                <w:rFonts w:hint="eastAsia"/>
              </w:rPr>
              <w:t>0.5</w:t>
            </w:r>
            <w:r>
              <w:rPr>
                <w:rFonts w:hint="eastAsia"/>
                <w:w w:val="25"/>
              </w:rPr>
              <w:t>　</w:t>
            </w:r>
            <w:r>
              <w:rPr>
                <w:rFonts w:ascii="Times New Roman"/>
                <w:sz w:val="18"/>
                <w:szCs w:val="18"/>
              </w:rPr>
              <w:t>kg</w:t>
            </w:r>
          </w:p>
        </w:tc>
        <w:tc>
          <w:tcPr>
            <w:tcW w:w="3125" w:type="dxa"/>
            <w:shd w:val="clear" w:color="auto" w:fill="auto"/>
          </w:tcPr>
          <w:p>
            <w:pPr>
              <w:pStyle w:val="59"/>
              <w:ind w:firstLine="0" w:firstLineChars="0"/>
              <w:jc w:val="center"/>
              <w:rPr>
                <w:sz w:val="18"/>
                <w:szCs w:val="18"/>
              </w:rPr>
            </w:pPr>
            <w:r>
              <w:rPr>
                <w:rFonts w:hint="eastAsia"/>
                <w:sz w:val="18"/>
                <w:szCs w:val="18"/>
              </w:rPr>
              <w:t>30～40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4" w:type="dxa"/>
            <w:shd w:val="clear" w:color="auto" w:fill="auto"/>
          </w:tcPr>
          <w:p>
            <w:pPr>
              <w:pStyle w:val="59"/>
              <w:ind w:firstLine="0" w:firstLineChars="0"/>
              <w:jc w:val="center"/>
              <w:rPr>
                <w:sz w:val="18"/>
                <w:szCs w:val="18"/>
              </w:rPr>
            </w:pPr>
            <w:r>
              <w:rPr>
                <w:rFonts w:hint="eastAsia"/>
                <w:sz w:val="18"/>
                <w:szCs w:val="18"/>
              </w:rPr>
              <w:t>鳙鱼</w:t>
            </w:r>
          </w:p>
        </w:tc>
        <w:tc>
          <w:tcPr>
            <w:tcW w:w="3125" w:type="dxa"/>
            <w:shd w:val="clear" w:color="auto" w:fill="auto"/>
          </w:tcPr>
          <w:p>
            <w:pPr>
              <w:pStyle w:val="59"/>
              <w:ind w:firstLine="0" w:firstLineChars="0"/>
              <w:jc w:val="center"/>
              <w:rPr>
                <w:sz w:val="18"/>
                <w:szCs w:val="18"/>
              </w:rPr>
            </w:pPr>
            <w:r>
              <w:rPr>
                <w:rFonts w:hint="eastAsia"/>
                <w:sz w:val="18"/>
                <w:szCs w:val="18"/>
              </w:rPr>
              <w:t>24</w:t>
            </w:r>
            <w:r>
              <w:rPr>
                <w:rFonts w:hint="eastAsia"/>
                <w:w w:val="25"/>
                <w:sz w:val="18"/>
                <w:szCs w:val="18"/>
              </w:rPr>
              <w:t>　</w:t>
            </w:r>
            <w:r>
              <w:rPr>
                <w:rFonts w:ascii="Times New Roman"/>
                <w:sz w:val="18"/>
                <w:szCs w:val="18"/>
              </w:rPr>
              <w:t>cm</w:t>
            </w:r>
            <w:r>
              <w:rPr>
                <w:rFonts w:hint="eastAsia"/>
                <w:sz w:val="18"/>
                <w:szCs w:val="18"/>
              </w:rPr>
              <w:t>/尾</w:t>
            </w:r>
          </w:p>
        </w:tc>
        <w:tc>
          <w:tcPr>
            <w:tcW w:w="3125" w:type="dxa"/>
            <w:shd w:val="clear" w:color="auto" w:fill="auto"/>
          </w:tcPr>
          <w:p>
            <w:pPr>
              <w:pStyle w:val="59"/>
              <w:ind w:firstLine="0" w:firstLineChars="0"/>
              <w:jc w:val="center"/>
              <w:rPr>
                <w:sz w:val="18"/>
                <w:szCs w:val="18"/>
              </w:rPr>
            </w:pPr>
            <w:r>
              <w:rPr>
                <w:rFonts w:hint="eastAsia"/>
                <w:sz w:val="18"/>
                <w:szCs w:val="18"/>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4" w:type="dxa"/>
            <w:shd w:val="clear" w:color="auto" w:fill="auto"/>
          </w:tcPr>
          <w:p>
            <w:pPr>
              <w:pStyle w:val="59"/>
              <w:ind w:firstLine="0" w:firstLineChars="0"/>
              <w:jc w:val="center"/>
              <w:rPr>
                <w:sz w:val="18"/>
                <w:szCs w:val="18"/>
              </w:rPr>
            </w:pPr>
            <w:r>
              <w:rPr>
                <w:rFonts w:hint="eastAsia"/>
                <w:sz w:val="18"/>
                <w:szCs w:val="18"/>
              </w:rPr>
              <w:t>鲢鱼</w:t>
            </w:r>
          </w:p>
        </w:tc>
        <w:tc>
          <w:tcPr>
            <w:tcW w:w="3125" w:type="dxa"/>
            <w:shd w:val="clear" w:color="auto" w:fill="auto"/>
          </w:tcPr>
          <w:p>
            <w:pPr>
              <w:pStyle w:val="59"/>
              <w:ind w:firstLine="0" w:firstLineChars="0"/>
              <w:jc w:val="center"/>
              <w:rPr>
                <w:sz w:val="18"/>
                <w:szCs w:val="18"/>
              </w:rPr>
            </w:pPr>
            <w:r>
              <w:rPr>
                <w:rFonts w:hint="eastAsia"/>
                <w:sz w:val="18"/>
                <w:szCs w:val="18"/>
              </w:rPr>
              <w:t>12</w:t>
            </w:r>
            <w:r>
              <w:rPr>
                <w:rFonts w:hint="eastAsia"/>
                <w:w w:val="25"/>
                <w:sz w:val="18"/>
                <w:szCs w:val="18"/>
              </w:rPr>
              <w:t>　</w:t>
            </w:r>
            <w:r>
              <w:rPr>
                <w:rFonts w:ascii="Times New Roman"/>
                <w:sz w:val="18"/>
                <w:szCs w:val="18"/>
              </w:rPr>
              <w:t>cm</w:t>
            </w:r>
            <w:r>
              <w:rPr>
                <w:rFonts w:hint="eastAsia"/>
                <w:sz w:val="18"/>
                <w:szCs w:val="18"/>
              </w:rPr>
              <w:t>/尾</w:t>
            </w:r>
          </w:p>
        </w:tc>
        <w:tc>
          <w:tcPr>
            <w:tcW w:w="3125" w:type="dxa"/>
            <w:shd w:val="clear" w:color="auto" w:fill="auto"/>
          </w:tcPr>
          <w:p>
            <w:pPr>
              <w:pStyle w:val="59"/>
              <w:ind w:firstLine="0" w:firstLineChars="0"/>
              <w:jc w:val="center"/>
              <w:rPr>
                <w:sz w:val="18"/>
                <w:szCs w:val="18"/>
              </w:rPr>
            </w:pPr>
            <w:r>
              <w:rPr>
                <w:rFonts w:hint="eastAsia"/>
                <w:sz w:val="18"/>
                <w:szCs w:val="18"/>
              </w:rPr>
              <w:t>30～40</w:t>
            </w:r>
          </w:p>
        </w:tc>
      </w:tr>
    </w:tbl>
    <w:p>
      <w:pPr>
        <w:pStyle w:val="59"/>
        <w:ind w:firstLine="420"/>
        <w:rPr>
          <w:rFonts w:hint="eastAsia"/>
        </w:rPr>
      </w:pPr>
    </w:p>
    <w:p>
      <w:pPr>
        <w:pStyle w:val="168"/>
        <w:rPr>
          <w:rFonts w:ascii="黑体" w:hAnsi="黑体" w:eastAsia="黑体"/>
        </w:rPr>
      </w:pPr>
      <w:bookmarkStart w:id="85" w:name="_Toc148440192"/>
      <w:r>
        <w:rPr>
          <w:rFonts w:hint="eastAsia" w:ascii="黑体" w:hAnsi="黑体" w:eastAsia="黑体"/>
        </w:rPr>
        <w:t>放养方法</w:t>
      </w:r>
      <w:bookmarkEnd w:id="85"/>
    </w:p>
    <w:p>
      <w:pPr>
        <w:widowControl/>
        <w:autoSpaceDE w:val="0"/>
        <w:autoSpaceDN w:val="0"/>
        <w:adjustRightInd/>
        <w:spacing w:line="240" w:lineRule="auto"/>
        <w:ind w:firstLine="420" w:firstLineChars="200"/>
        <w:rPr>
          <w:rFonts w:ascii="宋体" w:hAnsi="Times New Roman"/>
          <w:kern w:val="0"/>
        </w:rPr>
      </w:pPr>
      <w:r>
        <w:rPr>
          <w:rFonts w:hint="eastAsia" w:ascii="宋体" w:hAnsi="宋体"/>
          <w:kern w:val="0"/>
        </w:rPr>
        <w:t>养殖池塘水体盐度应与育苗水体盐度一致，放养时两者温差应小于2</w:t>
      </w:r>
      <w:r>
        <w:rPr>
          <w:rFonts w:hint="eastAsia" w:ascii="宋体" w:hAnsi="宋体"/>
          <w:w w:val="25"/>
          <w:kern w:val="0"/>
        </w:rPr>
        <w:t>　</w:t>
      </w:r>
      <w:r>
        <w:rPr>
          <w:rFonts w:hint="eastAsia" w:ascii="宋体" w:hAnsi="宋体"/>
          <w:kern w:val="0"/>
        </w:rPr>
        <w:t>℃。</w:t>
      </w:r>
    </w:p>
    <w:p>
      <w:pPr>
        <w:pStyle w:val="108"/>
        <w:spacing w:before="156" w:after="156"/>
      </w:pPr>
      <w:bookmarkStart w:id="86" w:name="_Toc148440193"/>
      <w:bookmarkStart w:id="87" w:name="_Toc148468736"/>
      <w:r>
        <w:rPr>
          <w:rFonts w:hint="eastAsia"/>
        </w:rPr>
        <w:t>饲料选择</w:t>
      </w:r>
      <w:bookmarkEnd w:id="86"/>
      <w:bookmarkEnd w:id="87"/>
    </w:p>
    <w:p>
      <w:pPr>
        <w:widowControl/>
        <w:autoSpaceDE w:val="0"/>
        <w:autoSpaceDN w:val="0"/>
        <w:adjustRightInd/>
        <w:spacing w:line="240" w:lineRule="auto"/>
        <w:ind w:firstLine="420" w:firstLineChars="200"/>
        <w:rPr>
          <w:rFonts w:ascii="宋体" w:hAnsi="Times New Roman"/>
          <w:kern w:val="0"/>
        </w:rPr>
      </w:pPr>
      <w:bookmarkStart w:id="88" w:name="_Toc146120206"/>
      <w:bookmarkStart w:id="89" w:name="_Toc146104074"/>
      <w:r>
        <w:rPr>
          <w:rFonts w:hint="eastAsia" w:ascii="宋体" w:hAnsi="宋体"/>
          <w:kern w:val="0"/>
        </w:rPr>
        <w:t>饲料应符合</w:t>
      </w:r>
      <w:r>
        <w:rPr>
          <w:rFonts w:ascii="Times New Roman" w:hAnsi="Times New Roman"/>
          <w:kern w:val="0"/>
        </w:rPr>
        <w:t>GB</w:t>
      </w:r>
      <w:r>
        <w:rPr>
          <w:rFonts w:hint="eastAsia" w:ascii="宋体" w:hAnsi="宋体"/>
          <w:kern w:val="0"/>
        </w:rPr>
        <w:t xml:space="preserve"> 13078的要求，南美对白虾配合饲料还应符合</w:t>
      </w:r>
      <w:r>
        <w:rPr>
          <w:rFonts w:hint="eastAsia" w:ascii="Times New Roman" w:hAnsi="Times New Roman"/>
          <w:kern w:val="0"/>
        </w:rPr>
        <w:t>GB/T</w:t>
      </w:r>
      <w:r>
        <w:rPr>
          <w:rFonts w:hint="eastAsia" w:ascii="宋体" w:hAnsi="宋体"/>
          <w:kern w:val="0"/>
        </w:rPr>
        <w:t xml:space="preserve"> 22919.5的要求。</w:t>
      </w:r>
    </w:p>
    <w:bookmarkEnd w:id="88"/>
    <w:bookmarkEnd w:id="89"/>
    <w:p>
      <w:pPr>
        <w:pStyle w:val="107"/>
        <w:spacing w:before="312" w:after="312"/>
      </w:pPr>
      <w:bookmarkStart w:id="90" w:name="_Toc148468737"/>
      <w:bookmarkStart w:id="91" w:name="_Toc148440194"/>
      <w:r>
        <w:rPr>
          <w:rFonts w:hint="eastAsia"/>
        </w:rPr>
        <w:t>日常管理</w:t>
      </w:r>
      <w:bookmarkEnd w:id="90"/>
      <w:bookmarkEnd w:id="91"/>
    </w:p>
    <w:p>
      <w:pPr>
        <w:pStyle w:val="108"/>
        <w:spacing w:before="156" w:after="156"/>
      </w:pPr>
      <w:bookmarkStart w:id="92" w:name="_Toc148440195"/>
      <w:bookmarkStart w:id="93" w:name="_Toc148468738"/>
      <w:r>
        <w:rPr>
          <w:rFonts w:hint="eastAsia"/>
        </w:rPr>
        <w:t>饲料投喂</w:t>
      </w:r>
      <w:bookmarkEnd w:id="92"/>
      <w:bookmarkEnd w:id="93"/>
    </w:p>
    <w:p>
      <w:pPr>
        <w:pStyle w:val="168"/>
      </w:pPr>
      <w:r>
        <w:rPr>
          <w:rFonts w:hint="eastAsia"/>
        </w:rPr>
        <w:t>应以投喂南美白对虾专用饲料为主，饲料应沿池塘四周尽可能均匀散投。</w:t>
      </w:r>
    </w:p>
    <w:p>
      <w:pPr>
        <w:pStyle w:val="168"/>
      </w:pPr>
      <w:r>
        <w:rPr>
          <w:rFonts w:hint="eastAsia"/>
        </w:rPr>
        <w:t>应选择蛋白质含量为39</w:t>
      </w:r>
      <w:r>
        <w:rPr>
          <w:rFonts w:hint="eastAsia" w:hAnsi="宋体"/>
        </w:rPr>
        <w:t>％</w:t>
      </w:r>
      <w:r>
        <w:rPr>
          <w:rFonts w:hint="eastAsia"/>
        </w:rPr>
        <w:t>～41</w:t>
      </w:r>
      <w:r>
        <w:rPr>
          <w:rFonts w:hint="eastAsia" w:hAnsi="宋体"/>
        </w:rPr>
        <w:t>％</w:t>
      </w:r>
      <w:r>
        <w:rPr>
          <w:rFonts w:hint="eastAsia"/>
        </w:rPr>
        <w:t>的饲料，每天投喂2次～3次，投喂量以2</w:t>
      </w:r>
      <w:r>
        <w:rPr>
          <w:rFonts w:hint="eastAsia"/>
          <w:w w:val="25"/>
        </w:rPr>
        <w:t>　</w:t>
      </w:r>
      <w:r>
        <w:rPr>
          <w:rFonts w:ascii="Times New Roman"/>
        </w:rPr>
        <w:t>h</w:t>
      </w:r>
      <w:r>
        <w:rPr>
          <w:rFonts w:hint="eastAsia"/>
        </w:rPr>
        <w:t>以内吃完为宜。</w:t>
      </w:r>
    </w:p>
    <w:p>
      <w:pPr>
        <w:pStyle w:val="168"/>
      </w:pPr>
      <w:r>
        <w:rPr>
          <w:rFonts w:hint="eastAsia"/>
        </w:rPr>
        <w:t>如遇台风天、寒冷天、水质恶化，苗种食量减少、大量蜕壳等情况，应减少投喂量或停止投喂。</w:t>
      </w:r>
    </w:p>
    <w:p>
      <w:pPr>
        <w:pStyle w:val="108"/>
        <w:spacing w:before="156" w:after="156"/>
      </w:pPr>
      <w:bookmarkStart w:id="94" w:name="_Toc148468739"/>
      <w:bookmarkStart w:id="95" w:name="_Toc148440196"/>
      <w:r>
        <w:rPr>
          <w:rFonts w:hint="eastAsia"/>
        </w:rPr>
        <w:t>水质管理</w:t>
      </w:r>
      <w:bookmarkEnd w:id="94"/>
      <w:bookmarkEnd w:id="95"/>
    </w:p>
    <w:p>
      <w:pPr>
        <w:pStyle w:val="168"/>
      </w:pPr>
      <w:r>
        <w:rPr>
          <w:rFonts w:hint="eastAsia"/>
        </w:rPr>
        <w:t>苗种放养时，池塘平均水位应为0.8</w:t>
      </w:r>
      <w:r>
        <w:rPr>
          <w:rFonts w:hint="eastAsia"/>
          <w:w w:val="25"/>
        </w:rPr>
        <w:t>　</w:t>
      </w:r>
      <w:r>
        <w:rPr>
          <w:rFonts w:ascii="Times New Roman"/>
        </w:rPr>
        <w:t>m</w:t>
      </w:r>
      <w:r>
        <w:rPr>
          <w:rFonts w:hint="eastAsia"/>
        </w:rPr>
        <w:t>左右；6月份则应将池水灌至1.0</w:t>
      </w:r>
      <w:r>
        <w:rPr>
          <w:rFonts w:hint="eastAsia"/>
          <w:w w:val="25"/>
        </w:rPr>
        <w:t>　</w:t>
      </w:r>
      <w:r>
        <w:rPr>
          <w:rFonts w:ascii="Times New Roman"/>
        </w:rPr>
        <w:t>m</w:t>
      </w:r>
      <w:r>
        <w:rPr>
          <w:rFonts w:hint="eastAsia"/>
        </w:rPr>
        <w:t>以上；到高温季节则应将池水灌至1.5</w:t>
      </w:r>
      <w:r>
        <w:rPr>
          <w:rFonts w:hint="eastAsia"/>
          <w:w w:val="25"/>
        </w:rPr>
        <w:t>　</w:t>
      </w:r>
      <w:r>
        <w:rPr>
          <w:rFonts w:ascii="Times New Roman"/>
        </w:rPr>
        <w:t>m</w:t>
      </w:r>
      <w:r>
        <w:rPr>
          <w:rFonts w:hint="eastAsia"/>
        </w:rPr>
        <w:t>左右。</w:t>
      </w:r>
    </w:p>
    <w:p>
      <w:pPr>
        <w:pStyle w:val="168"/>
      </w:pPr>
      <w:r>
        <w:rPr>
          <w:rFonts w:hint="eastAsia"/>
        </w:rPr>
        <w:t>应根据池塘水质状况，适时适量加注新水，并使用微生物制剂、肥水剂、解毒剂、底质改良剂等，每隔20</w:t>
      </w:r>
      <w:r>
        <w:rPr>
          <w:rFonts w:hint="eastAsia"/>
          <w:w w:val="25"/>
        </w:rPr>
        <w:t>　</w:t>
      </w:r>
      <w:r>
        <w:rPr>
          <w:rFonts w:hint="eastAsia" w:ascii="Times New Roman"/>
        </w:rPr>
        <w:t>d</w:t>
      </w:r>
      <w:r>
        <w:rPr>
          <w:rFonts w:hint="eastAsia"/>
        </w:rPr>
        <w:t>左右应使用一次二氧化氯消毒。应保持池水</w:t>
      </w:r>
      <w:r>
        <w:rPr>
          <w:rFonts w:ascii="Times New Roman"/>
        </w:rPr>
        <w:t>pH</w:t>
      </w:r>
      <w:r>
        <w:rPr>
          <w:rFonts w:hint="eastAsia"/>
        </w:rPr>
        <w:t>7.8～9.0。</w:t>
      </w:r>
    </w:p>
    <w:p>
      <w:pPr>
        <w:pStyle w:val="108"/>
        <w:spacing w:before="156" w:after="156"/>
      </w:pPr>
      <w:bookmarkStart w:id="96" w:name="_Toc148440197"/>
      <w:bookmarkStart w:id="97" w:name="_Toc148468740"/>
      <w:r>
        <w:rPr>
          <w:rFonts w:hint="eastAsia"/>
        </w:rPr>
        <w:t>增氧</w:t>
      </w:r>
      <w:bookmarkEnd w:id="96"/>
      <w:r>
        <w:rPr>
          <w:rFonts w:hint="eastAsia"/>
        </w:rPr>
        <w:t>管理</w:t>
      </w:r>
      <w:bookmarkEnd w:id="97"/>
    </w:p>
    <w:p>
      <w:pPr>
        <w:widowControl/>
        <w:autoSpaceDE w:val="0"/>
        <w:autoSpaceDN w:val="0"/>
        <w:adjustRightInd/>
        <w:spacing w:line="240" w:lineRule="auto"/>
        <w:ind w:firstLine="420"/>
        <w:rPr>
          <w:rFonts w:ascii="宋体" w:hAnsi="Times New Roman"/>
          <w:kern w:val="0"/>
        </w:rPr>
      </w:pPr>
      <w:r>
        <w:rPr>
          <w:rFonts w:hint="eastAsia" w:ascii="宋体" w:hAnsi="宋体"/>
          <w:kern w:val="0"/>
        </w:rPr>
        <w:t xml:space="preserve">适时开启池塘底充式增氧设施及配套的涌浪机、叶轮式增氧机，确保池水溶解氧在4.0 </w:t>
      </w:r>
      <w:r>
        <w:rPr>
          <w:rFonts w:ascii="Times New Roman" w:hAnsi="Times New Roman"/>
          <w:kern w:val="0"/>
        </w:rPr>
        <w:t>mg/L</w:t>
      </w:r>
      <w:r>
        <w:rPr>
          <w:rFonts w:hint="eastAsia" w:ascii="宋体" w:hAnsi="宋体"/>
          <w:kern w:val="0"/>
        </w:rPr>
        <w:t>以上。</w:t>
      </w:r>
    </w:p>
    <w:p>
      <w:pPr>
        <w:pStyle w:val="108"/>
        <w:spacing w:before="156" w:after="156"/>
      </w:pPr>
      <w:bookmarkStart w:id="98" w:name="_Toc148440198"/>
      <w:bookmarkStart w:id="99" w:name="_Toc148468741"/>
      <w:r>
        <w:rPr>
          <w:rFonts w:hint="eastAsia"/>
        </w:rPr>
        <w:t>养殖记录</w:t>
      </w:r>
      <w:bookmarkEnd w:id="98"/>
      <w:r>
        <w:rPr>
          <w:rFonts w:hint="eastAsia"/>
        </w:rPr>
        <w:t>及产品追溯</w:t>
      </w:r>
      <w:bookmarkEnd w:id="99"/>
    </w:p>
    <w:p>
      <w:pPr>
        <w:pStyle w:val="168"/>
      </w:pPr>
      <w:bookmarkStart w:id="100" w:name="_Toc146120207"/>
      <w:bookmarkStart w:id="101" w:name="_Toc146104075"/>
      <w:r>
        <w:rPr>
          <w:rFonts w:hint="eastAsia"/>
        </w:rPr>
        <w:t>早上、中午及晚间应巡塘，检查虾的吃食以及水质变化等情况；检查养殖设施，发现问题应及时处理；如实记录巡塘情况。</w:t>
      </w:r>
    </w:p>
    <w:p>
      <w:pPr>
        <w:pStyle w:val="168"/>
      </w:pPr>
      <w:r>
        <w:rPr>
          <w:rFonts w:hint="eastAsia"/>
        </w:rPr>
        <w:t>做好养殖生产记录，包括药物台帐、饲料台帐及销售记录等，落实可追溯制度。</w:t>
      </w:r>
    </w:p>
    <w:bookmarkEnd w:id="100"/>
    <w:bookmarkEnd w:id="101"/>
    <w:p>
      <w:pPr>
        <w:pStyle w:val="107"/>
        <w:spacing w:before="312" w:after="312"/>
      </w:pPr>
      <w:bookmarkStart w:id="102" w:name="_Toc148440199"/>
      <w:bookmarkStart w:id="103" w:name="_Toc148468742"/>
      <w:r>
        <w:rPr>
          <w:rFonts w:hint="eastAsia"/>
        </w:rPr>
        <w:t>病害防治</w:t>
      </w:r>
      <w:bookmarkEnd w:id="102"/>
      <w:bookmarkEnd w:id="103"/>
    </w:p>
    <w:p>
      <w:pPr>
        <w:widowControl/>
        <w:autoSpaceDE w:val="0"/>
        <w:autoSpaceDN w:val="0"/>
        <w:adjustRightInd/>
        <w:spacing w:line="240" w:lineRule="auto"/>
        <w:ind w:firstLine="420" w:firstLineChars="200"/>
        <w:rPr>
          <w:rFonts w:ascii="宋体" w:hAnsi="Times New Roman"/>
          <w:kern w:val="0"/>
        </w:rPr>
      </w:pPr>
      <w:bookmarkStart w:id="104" w:name="_Toc146120208"/>
      <w:bookmarkStart w:id="105" w:name="_Toc146104076"/>
      <w:r>
        <w:rPr>
          <w:rFonts w:hint="eastAsia" w:ascii="宋体" w:hAnsi="宋体"/>
          <w:kern w:val="0"/>
        </w:rPr>
        <w:t>坚持以防为主，如需使用药物应符合</w:t>
      </w:r>
      <w:r>
        <w:rPr>
          <w:rFonts w:ascii="Times New Roman" w:hAnsi="Times New Roman"/>
          <w:kern w:val="0"/>
        </w:rPr>
        <w:t>NY</w:t>
      </w:r>
      <w:r>
        <w:rPr>
          <w:rFonts w:hint="eastAsia" w:ascii="宋体" w:hAnsi="宋体"/>
          <w:kern w:val="0"/>
        </w:rPr>
        <w:t xml:space="preserve"> 5071的要求，应选用高效、低毒、低残留药物，提倡使用生态制剂及环保型药物。</w:t>
      </w:r>
    </w:p>
    <w:bookmarkEnd w:id="104"/>
    <w:bookmarkEnd w:id="105"/>
    <w:p>
      <w:pPr>
        <w:pStyle w:val="107"/>
        <w:spacing w:before="312" w:after="312"/>
      </w:pPr>
      <w:bookmarkStart w:id="106" w:name="_Toc148468743"/>
      <w:bookmarkStart w:id="107" w:name="_Toc148440200"/>
      <w:r>
        <w:rPr>
          <w:rFonts w:hint="eastAsia"/>
        </w:rPr>
        <w:t>捕捞</w:t>
      </w:r>
      <w:bookmarkEnd w:id="106"/>
      <w:bookmarkEnd w:id="107"/>
    </w:p>
    <w:p>
      <w:pPr>
        <w:pStyle w:val="165"/>
      </w:pPr>
      <w:r>
        <w:rPr>
          <w:rFonts w:hint="eastAsia"/>
        </w:rPr>
        <w:t>当南美白对虾规格达到（200～240）尾/</w:t>
      </w:r>
      <w:r>
        <w:rPr>
          <w:rFonts w:ascii="Times New Roman"/>
        </w:rPr>
        <w:t>kg</w:t>
      </w:r>
      <w:r>
        <w:rPr>
          <w:rFonts w:hint="eastAsia"/>
        </w:rPr>
        <w:t>时，可用地笼诱捕南美白对虾，诱捕过程遵守“捕大留小”的原则。</w:t>
      </w:r>
    </w:p>
    <w:p>
      <w:pPr>
        <w:pStyle w:val="165"/>
      </w:pPr>
      <w:r>
        <w:rPr>
          <w:rFonts w:hint="eastAsia"/>
        </w:rPr>
        <w:t>当每</w:t>
      </w:r>
      <w:r>
        <w:rPr>
          <w:rFonts w:hint="eastAsia"/>
          <w:color w:val="000000" w:themeColor="text1"/>
          <w14:textFill>
            <w14:solidFill>
              <w14:schemeClr w14:val="tx1"/>
            </w14:solidFill>
          </w14:textFill>
        </w:rPr>
        <w:t>个</w:t>
      </w:r>
      <w:r>
        <w:rPr>
          <w:rFonts w:hint="eastAsia"/>
        </w:rPr>
        <w:t>地笼诱捕的南美白对虾少于2.5</w:t>
      </w:r>
      <w:r>
        <w:rPr>
          <w:rFonts w:hint="eastAsia"/>
          <w:w w:val="25"/>
        </w:rPr>
        <w:t>　</w:t>
      </w:r>
      <w:r>
        <w:rPr>
          <w:rFonts w:ascii="Times New Roman"/>
        </w:rPr>
        <w:t>kg</w:t>
      </w:r>
      <w:r>
        <w:rPr>
          <w:rFonts w:hint="eastAsia"/>
        </w:rPr>
        <w:t>时，可用链条式牵网轮捕罗氏沼虾。</w:t>
      </w:r>
    </w:p>
    <w:p>
      <w:pPr>
        <w:pStyle w:val="165"/>
      </w:pPr>
      <w:r>
        <w:rPr>
          <w:rFonts w:hint="eastAsia"/>
        </w:rPr>
        <w:t>此后视</w:t>
      </w:r>
      <w:r>
        <w:rPr>
          <w:rFonts w:hint="eastAsia"/>
          <w:color w:val="000000" w:themeColor="text1"/>
          <w14:textFill>
            <w14:solidFill>
              <w14:schemeClr w14:val="tx1"/>
            </w14:solidFill>
          </w14:textFill>
        </w:rPr>
        <w:t>两种</w:t>
      </w:r>
      <w:r>
        <w:rPr>
          <w:rFonts w:hint="eastAsia"/>
        </w:rPr>
        <w:t xml:space="preserve">虾的生长、吃食等情况每隔7 </w:t>
      </w:r>
      <w:r>
        <w:rPr>
          <w:rFonts w:ascii="Times New Roman"/>
        </w:rPr>
        <w:t>d</w:t>
      </w:r>
      <w:r>
        <w:rPr>
          <w:rFonts w:hint="eastAsia"/>
        </w:rPr>
        <w:t>捕捞1次；至9月中上旬，应采用干塘捕捞方式，将两种虾类均进行捕捞上市销售。</w:t>
      </w:r>
    </w:p>
    <w:p>
      <w:pPr>
        <w:pStyle w:val="107"/>
        <w:spacing w:before="312" w:after="312"/>
      </w:pPr>
      <w:bookmarkStart w:id="108" w:name="_Toc148440201"/>
      <w:bookmarkStart w:id="109" w:name="_Toc148468744"/>
      <w:r>
        <w:rPr>
          <w:rFonts w:hint="eastAsia"/>
        </w:rPr>
        <w:t>养殖尾水处理</w:t>
      </w:r>
      <w:bookmarkEnd w:id="108"/>
      <w:bookmarkEnd w:id="109"/>
    </w:p>
    <w:p>
      <w:pPr>
        <w:widowControl/>
        <w:autoSpaceDE w:val="0"/>
        <w:autoSpaceDN w:val="0"/>
        <w:adjustRightInd/>
        <w:spacing w:line="240" w:lineRule="auto"/>
        <w:ind w:firstLine="420" w:firstLineChars="200"/>
        <w:rPr>
          <w:rFonts w:ascii="宋体" w:hAnsi="Times New Roman"/>
          <w:kern w:val="0"/>
        </w:rPr>
      </w:pPr>
      <w:r>
        <w:rPr>
          <w:rFonts w:hint="eastAsia" w:ascii="宋体" w:hAnsi="宋体"/>
          <w:kern w:val="0"/>
        </w:rPr>
        <w:t>养殖尾水</w:t>
      </w:r>
      <w:r>
        <w:rPr>
          <w:rFonts w:hint="eastAsia" w:ascii="宋体" w:hAnsi="宋体"/>
          <w:kern w:val="0"/>
          <w:highlight w:val="none"/>
        </w:rPr>
        <w:t>不应直</w:t>
      </w:r>
      <w:r>
        <w:rPr>
          <w:rFonts w:hint="eastAsia" w:ascii="宋体" w:hAnsi="宋体"/>
          <w:kern w:val="0"/>
        </w:rPr>
        <w:t>接排放，如需排放应符合淡水池塘养殖用水排放相关要求。有条件的宜配套处理池集中处理养殖尾水，达标排放。</w:t>
      </w:r>
    </w:p>
    <w:p>
      <w:pPr>
        <w:pStyle w:val="59"/>
        <w:ind w:firstLine="420"/>
        <w:jc w:val="center"/>
        <w:rPr>
          <w:rFonts w:hint="eastAsia"/>
        </w:rPr>
        <w:sectPr>
          <w:headerReference r:id="rId17" w:type="default"/>
          <w:footerReference r:id="rId19" w:type="default"/>
          <w:headerReference r:id="rId18" w:type="even"/>
          <w:footerReference r:id="rId20" w:type="even"/>
          <w:pgSz w:w="11906" w:h="16838"/>
          <w:pgMar w:top="1928" w:right="1134" w:bottom="1134" w:left="1134" w:header="1418" w:footer="1134" w:gutter="284"/>
          <w:pgNumType w:start="1"/>
          <w:cols w:space="425" w:num="1"/>
          <w:formProt w:val="0"/>
          <w:docGrid w:type="lines" w:linePitch="312" w:charSpace="0"/>
        </w:sectPr>
      </w:pPr>
      <w:bookmarkStart w:id="110" w:name="BookMark8"/>
      <w:r>
        <w:rPr>
          <w:rFonts w:hint="eastAsia"/>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0"/>
    </w:p>
    <w:bookmarkEnd w:id="20"/>
    <w:p>
      <w:pPr>
        <w:pStyle w:val="59"/>
        <w:ind w:firstLine="0" w:firstLineChars="0"/>
        <w:rPr>
          <w:rFonts w:hint="eastAsia"/>
        </w:rPr>
      </w:pPr>
    </w:p>
    <w:sectPr>
      <w:headerReference r:id="rId21" w:type="default"/>
      <w:footerReference r:id="rId23" w:type="default"/>
      <w:headerReference r:id="rId22" w:type="even"/>
      <w:footerReference r:id="rId24"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MS Gothic">
    <w:panose1 w:val="020B0609070205080204"/>
    <w:charset w:val="80"/>
    <w:family w:val="modern"/>
    <w:pitch w:val="default"/>
    <w:sig w:usb0="E00002FF" w:usb1="6AC7FDFB" w:usb2="08000012" w:usb3="00000000" w:csb0="4002009F" w:csb1="DFD7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3</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DB4405/T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DB4405/T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DB4405/T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DB4405/T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DB4405/T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DB4405/T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DB4405/T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DB4405/T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0MTg0ZjM4NTdkMjNiODNmNzRhZmI5NTE5YTUzMjAifQ=="/>
  </w:docVars>
  <w:rsids>
    <w:rsidRoot w:val="0095427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D96"/>
    <w:rsid w:val="000303C3"/>
    <w:rsid w:val="00031F1B"/>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3F1F"/>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13E"/>
    <w:rsid w:val="000A7311"/>
    <w:rsid w:val="000B060F"/>
    <w:rsid w:val="000B1592"/>
    <w:rsid w:val="000B1FF2"/>
    <w:rsid w:val="000B3CDA"/>
    <w:rsid w:val="000B6A0B"/>
    <w:rsid w:val="000C0F6C"/>
    <w:rsid w:val="000C11DB"/>
    <w:rsid w:val="000C1492"/>
    <w:rsid w:val="000C27E0"/>
    <w:rsid w:val="000C2FBD"/>
    <w:rsid w:val="000C4B41"/>
    <w:rsid w:val="000C57D6"/>
    <w:rsid w:val="000C6362"/>
    <w:rsid w:val="000C7666"/>
    <w:rsid w:val="000D0A9C"/>
    <w:rsid w:val="000D1795"/>
    <w:rsid w:val="000D329A"/>
    <w:rsid w:val="000D4B9C"/>
    <w:rsid w:val="000D4EB6"/>
    <w:rsid w:val="000D753B"/>
    <w:rsid w:val="000E4C9E"/>
    <w:rsid w:val="000E6A98"/>
    <w:rsid w:val="000E6FD7"/>
    <w:rsid w:val="000F06E1"/>
    <w:rsid w:val="000F0E3C"/>
    <w:rsid w:val="000F19D5"/>
    <w:rsid w:val="000F1EF1"/>
    <w:rsid w:val="000F4AEA"/>
    <w:rsid w:val="000F633F"/>
    <w:rsid w:val="000F67E9"/>
    <w:rsid w:val="00104926"/>
    <w:rsid w:val="001115EB"/>
    <w:rsid w:val="00113B1E"/>
    <w:rsid w:val="0011711C"/>
    <w:rsid w:val="0012059C"/>
    <w:rsid w:val="00124A14"/>
    <w:rsid w:val="00124E4F"/>
    <w:rsid w:val="001254F2"/>
    <w:rsid w:val="001260B7"/>
    <w:rsid w:val="0012634F"/>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6351"/>
    <w:rsid w:val="001B06E8"/>
    <w:rsid w:val="001B332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16F2"/>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4787"/>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B7F8E"/>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5548"/>
    <w:rsid w:val="003D6D61"/>
    <w:rsid w:val="003D79C6"/>
    <w:rsid w:val="003E091D"/>
    <w:rsid w:val="003E1C53"/>
    <w:rsid w:val="003E2A69"/>
    <w:rsid w:val="003E2D49"/>
    <w:rsid w:val="003E2FD4"/>
    <w:rsid w:val="003E319D"/>
    <w:rsid w:val="003E49F6"/>
    <w:rsid w:val="003E660F"/>
    <w:rsid w:val="003F0841"/>
    <w:rsid w:val="003F23D3"/>
    <w:rsid w:val="003F3F08"/>
    <w:rsid w:val="003F49F1"/>
    <w:rsid w:val="003F6272"/>
    <w:rsid w:val="00400E72"/>
    <w:rsid w:val="00401261"/>
    <w:rsid w:val="00401400"/>
    <w:rsid w:val="00404869"/>
    <w:rsid w:val="00405884"/>
    <w:rsid w:val="00407D39"/>
    <w:rsid w:val="0041477A"/>
    <w:rsid w:val="00416688"/>
    <w:rsid w:val="004167A3"/>
    <w:rsid w:val="0042111E"/>
    <w:rsid w:val="00432DAA"/>
    <w:rsid w:val="00434305"/>
    <w:rsid w:val="00435DF7"/>
    <w:rsid w:val="004362B2"/>
    <w:rsid w:val="0044083F"/>
    <w:rsid w:val="00441AE7"/>
    <w:rsid w:val="00445574"/>
    <w:rsid w:val="004467FB"/>
    <w:rsid w:val="00450B7F"/>
    <w:rsid w:val="00452D6B"/>
    <w:rsid w:val="00454484"/>
    <w:rsid w:val="0045517B"/>
    <w:rsid w:val="00463B77"/>
    <w:rsid w:val="00463C7B"/>
    <w:rsid w:val="004644A6"/>
    <w:rsid w:val="004659BD"/>
    <w:rsid w:val="00470775"/>
    <w:rsid w:val="004732E6"/>
    <w:rsid w:val="004746B1"/>
    <w:rsid w:val="0047583F"/>
    <w:rsid w:val="00475DE8"/>
    <w:rsid w:val="00480702"/>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12A0"/>
    <w:rsid w:val="004B2701"/>
    <w:rsid w:val="004B2E1B"/>
    <w:rsid w:val="004B3AA8"/>
    <w:rsid w:val="004B3E93"/>
    <w:rsid w:val="004B63A6"/>
    <w:rsid w:val="004C000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96B"/>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6F04"/>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76EF"/>
    <w:rsid w:val="006015CE"/>
    <w:rsid w:val="00604784"/>
    <w:rsid w:val="00606419"/>
    <w:rsid w:val="00607D29"/>
    <w:rsid w:val="006110D5"/>
    <w:rsid w:val="00612952"/>
    <w:rsid w:val="00614CC1"/>
    <w:rsid w:val="00615A9D"/>
    <w:rsid w:val="00617387"/>
    <w:rsid w:val="006205D6"/>
    <w:rsid w:val="006252D8"/>
    <w:rsid w:val="006259BC"/>
    <w:rsid w:val="0062636B"/>
    <w:rsid w:val="00632182"/>
    <w:rsid w:val="00632AB0"/>
    <w:rsid w:val="00632AE0"/>
    <w:rsid w:val="00633C17"/>
    <w:rsid w:val="00634D9E"/>
    <w:rsid w:val="00636E3E"/>
    <w:rsid w:val="006379F7"/>
    <w:rsid w:val="00637E4D"/>
    <w:rsid w:val="00640620"/>
    <w:rsid w:val="00641A1F"/>
    <w:rsid w:val="00645904"/>
    <w:rsid w:val="00651ACB"/>
    <w:rsid w:val="00651C47"/>
    <w:rsid w:val="0065267F"/>
    <w:rsid w:val="00652AB2"/>
    <w:rsid w:val="00653FED"/>
    <w:rsid w:val="00654EC0"/>
    <w:rsid w:val="0065525B"/>
    <w:rsid w:val="00655D4F"/>
    <w:rsid w:val="00656BC4"/>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67F9"/>
    <w:rsid w:val="00695D22"/>
    <w:rsid w:val="0069600D"/>
    <w:rsid w:val="006A07AA"/>
    <w:rsid w:val="006A25E5"/>
    <w:rsid w:val="006A2B46"/>
    <w:rsid w:val="006A336D"/>
    <w:rsid w:val="006A37B9"/>
    <w:rsid w:val="006B2672"/>
    <w:rsid w:val="006B54BF"/>
    <w:rsid w:val="006B5F44"/>
    <w:rsid w:val="006B5F90"/>
    <w:rsid w:val="006B62E4"/>
    <w:rsid w:val="006C186B"/>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076BC"/>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0EAD"/>
    <w:rsid w:val="007C1E8B"/>
    <w:rsid w:val="007C2D89"/>
    <w:rsid w:val="007C4593"/>
    <w:rsid w:val="007C5309"/>
    <w:rsid w:val="007C6069"/>
    <w:rsid w:val="007D06C4"/>
    <w:rsid w:val="007D1352"/>
    <w:rsid w:val="007D2508"/>
    <w:rsid w:val="007D346A"/>
    <w:rsid w:val="007D565F"/>
    <w:rsid w:val="007D6518"/>
    <w:rsid w:val="007D76BD"/>
    <w:rsid w:val="007E0BF1"/>
    <w:rsid w:val="007F0ED8"/>
    <w:rsid w:val="007F0F63"/>
    <w:rsid w:val="007F75CE"/>
    <w:rsid w:val="00800FF4"/>
    <w:rsid w:val="008013A4"/>
    <w:rsid w:val="00801681"/>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218"/>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65F8"/>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58C4"/>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5E57"/>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3935"/>
    <w:rsid w:val="009062E6"/>
    <w:rsid w:val="00911BE5"/>
    <w:rsid w:val="00913CA9"/>
    <w:rsid w:val="009145AE"/>
    <w:rsid w:val="009146CE"/>
    <w:rsid w:val="00914CA7"/>
    <w:rsid w:val="00915C3E"/>
    <w:rsid w:val="009161A8"/>
    <w:rsid w:val="00922D7F"/>
    <w:rsid w:val="009232DD"/>
    <w:rsid w:val="009245F5"/>
    <w:rsid w:val="009249EC"/>
    <w:rsid w:val="009273B3"/>
    <w:rsid w:val="009305B5"/>
    <w:rsid w:val="009429D5"/>
    <w:rsid w:val="00942BF1"/>
    <w:rsid w:val="00945180"/>
    <w:rsid w:val="00945428"/>
    <w:rsid w:val="0094607B"/>
    <w:rsid w:val="00953604"/>
    <w:rsid w:val="00954272"/>
    <w:rsid w:val="0095496B"/>
    <w:rsid w:val="009610DC"/>
    <w:rsid w:val="00961490"/>
    <w:rsid w:val="0096381A"/>
    <w:rsid w:val="00965E04"/>
    <w:rsid w:val="00967281"/>
    <w:rsid w:val="009674AD"/>
    <w:rsid w:val="00970CDC"/>
    <w:rsid w:val="00975195"/>
    <w:rsid w:val="00977010"/>
    <w:rsid w:val="00977D02"/>
    <w:rsid w:val="009809BB"/>
    <w:rsid w:val="0098364B"/>
    <w:rsid w:val="0098425B"/>
    <w:rsid w:val="00986A4E"/>
    <w:rsid w:val="00986ABE"/>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56C3"/>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94"/>
    <w:rsid w:val="00A02BAE"/>
    <w:rsid w:val="00A06A6B"/>
    <w:rsid w:val="00A07E47"/>
    <w:rsid w:val="00A12789"/>
    <w:rsid w:val="00A129D0"/>
    <w:rsid w:val="00A12C33"/>
    <w:rsid w:val="00A138BA"/>
    <w:rsid w:val="00A14C8E"/>
    <w:rsid w:val="00A153D9"/>
    <w:rsid w:val="00A15F09"/>
    <w:rsid w:val="00A169B6"/>
    <w:rsid w:val="00A16AA1"/>
    <w:rsid w:val="00A2271D"/>
    <w:rsid w:val="00A237D5"/>
    <w:rsid w:val="00A26320"/>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411F"/>
    <w:rsid w:val="00A5526C"/>
    <w:rsid w:val="00A55BD6"/>
    <w:rsid w:val="00A55D50"/>
    <w:rsid w:val="00A57142"/>
    <w:rsid w:val="00A648CD"/>
    <w:rsid w:val="00A6537A"/>
    <w:rsid w:val="00A67866"/>
    <w:rsid w:val="00A70B07"/>
    <w:rsid w:val="00A723F8"/>
    <w:rsid w:val="00A73F7C"/>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3F14"/>
    <w:rsid w:val="00AE4B28"/>
    <w:rsid w:val="00AE5EB4"/>
    <w:rsid w:val="00AF0C18"/>
    <w:rsid w:val="00AF2CCD"/>
    <w:rsid w:val="00AF47C5"/>
    <w:rsid w:val="00AF5398"/>
    <w:rsid w:val="00B049AF"/>
    <w:rsid w:val="00B07242"/>
    <w:rsid w:val="00B10534"/>
    <w:rsid w:val="00B113DB"/>
    <w:rsid w:val="00B11D8A"/>
    <w:rsid w:val="00B11D9E"/>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5A18"/>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020B"/>
    <w:rsid w:val="00C013AD"/>
    <w:rsid w:val="00C04904"/>
    <w:rsid w:val="00C056B3"/>
    <w:rsid w:val="00C103E5"/>
    <w:rsid w:val="00C11C5C"/>
    <w:rsid w:val="00C13319"/>
    <w:rsid w:val="00C13EE9"/>
    <w:rsid w:val="00C21540"/>
    <w:rsid w:val="00C21906"/>
    <w:rsid w:val="00C21BFA"/>
    <w:rsid w:val="00C22148"/>
    <w:rsid w:val="00C24C8D"/>
    <w:rsid w:val="00C25FE2"/>
    <w:rsid w:val="00C26B53"/>
    <w:rsid w:val="00C279B2"/>
    <w:rsid w:val="00C32584"/>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31A7"/>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79DB"/>
    <w:rsid w:val="00CE0C4F"/>
    <w:rsid w:val="00CE30EA"/>
    <w:rsid w:val="00CF048A"/>
    <w:rsid w:val="00CF155A"/>
    <w:rsid w:val="00CF2947"/>
    <w:rsid w:val="00CF686F"/>
    <w:rsid w:val="00CF6E60"/>
    <w:rsid w:val="00CF7BCA"/>
    <w:rsid w:val="00D008FD"/>
    <w:rsid w:val="00D01A9C"/>
    <w:rsid w:val="00D0321C"/>
    <w:rsid w:val="00D035EC"/>
    <w:rsid w:val="00D06AB1"/>
    <w:rsid w:val="00D072ED"/>
    <w:rsid w:val="00D07A16"/>
    <w:rsid w:val="00D1067E"/>
    <w:rsid w:val="00D10F50"/>
    <w:rsid w:val="00D11272"/>
    <w:rsid w:val="00D126F5"/>
    <w:rsid w:val="00D1489E"/>
    <w:rsid w:val="00D20737"/>
    <w:rsid w:val="00D21E81"/>
    <w:rsid w:val="00D223DE"/>
    <w:rsid w:val="00D25D85"/>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783F"/>
    <w:rsid w:val="00D66846"/>
    <w:rsid w:val="00D675FB"/>
    <w:rsid w:val="00D71F25"/>
    <w:rsid w:val="00D72A9C"/>
    <w:rsid w:val="00D77031"/>
    <w:rsid w:val="00D84941"/>
    <w:rsid w:val="00D84FA1"/>
    <w:rsid w:val="00D851F0"/>
    <w:rsid w:val="00D86DB7"/>
    <w:rsid w:val="00D8761A"/>
    <w:rsid w:val="00D926D0"/>
    <w:rsid w:val="00D93030"/>
    <w:rsid w:val="00D941BD"/>
    <w:rsid w:val="00D950E1"/>
    <w:rsid w:val="00D952A6"/>
    <w:rsid w:val="00D97F99"/>
    <w:rsid w:val="00DA0E87"/>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09F6"/>
    <w:rsid w:val="00DC3067"/>
    <w:rsid w:val="00DC370B"/>
    <w:rsid w:val="00DC5B90"/>
    <w:rsid w:val="00DD00FF"/>
    <w:rsid w:val="00DD0619"/>
    <w:rsid w:val="00DD07FB"/>
    <w:rsid w:val="00DD25C6"/>
    <w:rsid w:val="00DD4FE5"/>
    <w:rsid w:val="00DD54B0"/>
    <w:rsid w:val="00DD57EE"/>
    <w:rsid w:val="00DD6BCC"/>
    <w:rsid w:val="00DE0A4B"/>
    <w:rsid w:val="00DE2410"/>
    <w:rsid w:val="00DE28E1"/>
    <w:rsid w:val="00DE2939"/>
    <w:rsid w:val="00DE6E81"/>
    <w:rsid w:val="00DE703F"/>
    <w:rsid w:val="00DE7595"/>
    <w:rsid w:val="00DF1961"/>
    <w:rsid w:val="00DF332B"/>
    <w:rsid w:val="00DF44DE"/>
    <w:rsid w:val="00DF5F11"/>
    <w:rsid w:val="00E01138"/>
    <w:rsid w:val="00E02DFB"/>
    <w:rsid w:val="00E030F9"/>
    <w:rsid w:val="00E0311A"/>
    <w:rsid w:val="00E03138"/>
    <w:rsid w:val="00E0602C"/>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167"/>
    <w:rsid w:val="00E5408A"/>
    <w:rsid w:val="00E56800"/>
    <w:rsid w:val="00E56B95"/>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4D6"/>
    <w:rsid w:val="00E906C2"/>
    <w:rsid w:val="00E9196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24BD"/>
    <w:rsid w:val="00EC5359"/>
    <w:rsid w:val="00EC562A"/>
    <w:rsid w:val="00EC5D49"/>
    <w:rsid w:val="00ED067A"/>
    <w:rsid w:val="00ED2B50"/>
    <w:rsid w:val="00EE0350"/>
    <w:rsid w:val="00EE0719"/>
    <w:rsid w:val="00EE0E80"/>
    <w:rsid w:val="00EE54A6"/>
    <w:rsid w:val="00EE613F"/>
    <w:rsid w:val="00EE7295"/>
    <w:rsid w:val="00EE7869"/>
    <w:rsid w:val="00EF054A"/>
    <w:rsid w:val="00EF3235"/>
    <w:rsid w:val="00EF7E72"/>
    <w:rsid w:val="00F06907"/>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42A5"/>
    <w:rsid w:val="00F95248"/>
    <w:rsid w:val="00F956A9"/>
    <w:rsid w:val="00F963ED"/>
    <w:rsid w:val="00F966CF"/>
    <w:rsid w:val="00F96CAE"/>
    <w:rsid w:val="00F97C99"/>
    <w:rsid w:val="00FA4DAC"/>
    <w:rsid w:val="00FA662D"/>
    <w:rsid w:val="00FA73B1"/>
    <w:rsid w:val="00FB0CB9"/>
    <w:rsid w:val="00FB231D"/>
    <w:rsid w:val="00FB2E70"/>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4D6C"/>
    <w:rsid w:val="00FF5B99"/>
    <w:rsid w:val="00FF730C"/>
    <w:rsid w:val="00FF73F4"/>
    <w:rsid w:val="00FF7CE4"/>
    <w:rsid w:val="00FF7E39"/>
    <w:rsid w:val="033B5A9E"/>
    <w:rsid w:val="04B1617F"/>
    <w:rsid w:val="092B3EE4"/>
    <w:rsid w:val="0A3F6A9B"/>
    <w:rsid w:val="14EE1C5B"/>
    <w:rsid w:val="16A77777"/>
    <w:rsid w:val="20CA40DE"/>
    <w:rsid w:val="290832AA"/>
    <w:rsid w:val="2CCB451E"/>
    <w:rsid w:val="2E415F9F"/>
    <w:rsid w:val="2EDC6B64"/>
    <w:rsid w:val="2F5E6863"/>
    <w:rsid w:val="348777FB"/>
    <w:rsid w:val="39D536BF"/>
    <w:rsid w:val="3D553039"/>
    <w:rsid w:val="41037B43"/>
    <w:rsid w:val="47935A3B"/>
    <w:rsid w:val="48C9414A"/>
    <w:rsid w:val="4E2B5EC9"/>
    <w:rsid w:val="523367E4"/>
    <w:rsid w:val="6C934342"/>
    <w:rsid w:val="70C176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3"/>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19"/>
    <w:qFormat/>
    <w:uiPriority w:val="99"/>
    <w:rPr>
      <w:kern w:val="2"/>
      <w:sz w:val="18"/>
      <w:szCs w:val="18"/>
    </w:rPr>
  </w:style>
  <w:style w:type="character" w:customStyle="1" w:styleId="47">
    <w:name w:val="页脚 Char"/>
    <w:link w:val="18"/>
    <w:qFormat/>
    <w:uiPriority w:val="99"/>
    <w:rPr>
      <w:rFonts w:ascii="宋体"/>
      <w:kern w:val="2"/>
      <w:sz w:val="18"/>
      <w:szCs w:val="18"/>
    </w:rPr>
  </w:style>
  <w:style w:type="character" w:customStyle="1" w:styleId="48">
    <w:name w:val="批注框文本 Char"/>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批注文字 Char"/>
    <w:basedOn w:val="30"/>
    <w:link w:val="13"/>
    <w:qFormat/>
    <w:uiPriority w:val="99"/>
    <w:rPr>
      <w:kern w:val="2"/>
      <w:sz w:val="21"/>
      <w:szCs w:val="21"/>
    </w:rPr>
  </w:style>
  <w:style w:type="character" w:customStyle="1" w:styleId="234">
    <w:name w:val="批注主题 Char"/>
    <w:basedOn w:val="233"/>
    <w:link w:val="27"/>
    <w:semiHidden/>
    <w:qFormat/>
    <w:uiPriority w:val="99"/>
    <w:rPr>
      <w:b/>
      <w:bCs/>
      <w:kern w:val="2"/>
      <w:sz w:val="21"/>
      <w:szCs w:val="21"/>
    </w:rPr>
  </w:style>
  <w:style w:type="paragraph" w:customStyle="1" w:styleId="235">
    <w:name w:val="Plain Text1"/>
    <w:basedOn w:val="1"/>
    <w:qFormat/>
    <w:uiPriority w:val="0"/>
    <w:rPr>
      <w:rFonts w:ascii="宋体" w:hAnsi="Courier New" w:cs="宋体"/>
    </w:rPr>
  </w:style>
  <w:style w:type="paragraph" w:customStyle="1" w:styleId="236">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7">
    <w:name w:val="章标题"/>
    <w:basedOn w:val="1"/>
    <w:next w:val="1"/>
    <w:qFormat/>
    <w:uiPriority w:val="0"/>
    <w:pPr>
      <w:widowControl/>
      <w:adjustRightInd/>
      <w:spacing w:beforeLines="50" w:afterLines="50" w:line="240" w:lineRule="auto"/>
      <w:outlineLvl w:val="1"/>
    </w:pPr>
    <w:rPr>
      <w:rFonts w:ascii="黑体" w:hAnsi="Times New Roman" w:eastAsia="黑体"/>
      <w:kern w:val="0"/>
    </w:rPr>
  </w:style>
  <w:style w:type="paragraph" w:customStyle="1" w:styleId="238">
    <w:name w:val="一级条标题"/>
    <w:basedOn w:val="1"/>
    <w:next w:val="1"/>
    <w:qFormat/>
    <w:uiPriority w:val="0"/>
    <w:pPr>
      <w:widowControl/>
      <w:adjustRightInd/>
      <w:spacing w:line="240" w:lineRule="auto"/>
      <w:ind w:left="360"/>
      <w:outlineLvl w:val="2"/>
    </w:pPr>
    <w:rPr>
      <w:rFonts w:ascii="黑体" w:hAnsi="Times New Roman" w:eastAsia="黑体"/>
      <w:kern w:val="0"/>
    </w:rPr>
  </w:style>
  <w:style w:type="paragraph" w:customStyle="1" w:styleId="239">
    <w:name w:val="正文1"/>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2" Type="http://schemas.openxmlformats.org/officeDocument/2006/relationships/glossaryDocument" Target="glossary/document.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footnotes" Target="footnotes.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2.jpeg"/><Relationship Id="rId26" Type="http://schemas.openxmlformats.org/officeDocument/2006/relationships/image" Target="media/image1.tiff"/><Relationship Id="rId25" Type="http://schemas.openxmlformats.org/officeDocument/2006/relationships/theme" Target="theme/theme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45C1027570749DAB7A88F8D292F6547"/>
        <w:style w:val=""/>
        <w:category>
          <w:name w:val="常规"/>
          <w:gallery w:val="placeholder"/>
        </w:category>
        <w:types>
          <w:type w:val="bbPlcHdr"/>
        </w:types>
        <w:behaviors>
          <w:behavior w:val="content"/>
        </w:behaviors>
        <w:description w:val=""/>
        <w:guid w:val="{A3859D4C-B458-43E2-9BED-3AED253F2E1D}"/>
      </w:docPartPr>
      <w:docPartBody>
        <w:p>
          <w:pPr>
            <w:pStyle w:val="5"/>
          </w:pPr>
          <w:r>
            <w:rPr>
              <w:rStyle w:val="4"/>
              <w:rFonts w:hint="eastAsia"/>
            </w:rPr>
            <w:t>单击或点击此处输入文字。</w:t>
          </w:r>
        </w:p>
      </w:docPartBody>
    </w:docPart>
    <w:docPart>
      <w:docPartPr>
        <w:name w:val="FA4275B8EAF84E58A51892C4A4CB5C71"/>
        <w:style w:val=""/>
        <w:category>
          <w:name w:val="常规"/>
          <w:gallery w:val="placeholder"/>
        </w:category>
        <w:types>
          <w:type w:val="bbPlcHdr"/>
        </w:types>
        <w:behaviors>
          <w:behavior w:val="content"/>
        </w:behaviors>
        <w:description w:val=""/>
        <w:guid w:val="{E0EBE949-9507-4CD9-B8AA-0A3E7798CDCB}"/>
      </w:docPartPr>
      <w:docPartBody>
        <w:p>
          <w:pPr>
            <w:pStyle w:val="6"/>
          </w:pPr>
          <w:r>
            <w:rPr>
              <w:rStyle w:val="4"/>
              <w:rFonts w:hint="eastAsia"/>
            </w:rPr>
            <w:t>选择一项。</w:t>
          </w:r>
        </w:p>
      </w:docPartBody>
    </w:docPart>
    <w:docPart>
      <w:docPartPr>
        <w:name w:val="6487CBC52CDA411899EE844721D8354C"/>
        <w:style w:val=""/>
        <w:category>
          <w:name w:val="常规"/>
          <w:gallery w:val="placeholder"/>
        </w:category>
        <w:types>
          <w:type w:val="bbPlcHdr"/>
        </w:types>
        <w:behaviors>
          <w:behavior w:val="content"/>
        </w:behaviors>
        <w:description w:val=""/>
        <w:guid w:val="{922B079B-87CA-403E-9D1D-D201A8D93519}"/>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6D3"/>
    <w:rsid w:val="000B223D"/>
    <w:rsid w:val="001212F6"/>
    <w:rsid w:val="00140531"/>
    <w:rsid w:val="0032411F"/>
    <w:rsid w:val="003950A0"/>
    <w:rsid w:val="004F14D1"/>
    <w:rsid w:val="00536BA9"/>
    <w:rsid w:val="00737120"/>
    <w:rsid w:val="007D5FE8"/>
    <w:rsid w:val="00823598"/>
    <w:rsid w:val="009211FE"/>
    <w:rsid w:val="00932483"/>
    <w:rsid w:val="00B823DA"/>
    <w:rsid w:val="00BC26D3"/>
    <w:rsid w:val="00D53428"/>
    <w:rsid w:val="00EF0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45C1027570749DAB7A88F8D292F65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A4275B8EAF84E58A51892C4A4CB5C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487CBC52CDA411899EE844721D8354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2BE374-9B72-40C9-B215-4B8CE753D69F}">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9</Pages>
  <Words>729</Words>
  <Characters>4159</Characters>
  <Lines>34</Lines>
  <Paragraphs>9</Paragraphs>
  <TotalTime>4</TotalTime>
  <ScaleCrop>false</ScaleCrop>
  <LinksUpToDate>false</LinksUpToDate>
  <CharactersWithSpaces>4879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2023-09-20T01:40:00Z</dcterms:created>
  <dc:creator>微软用户</dc:creator>
  <dc:description>&lt;config cover="true" show_menu="true" version="1.0.0" doctype="SDKXY"&gt;_x000d_
&lt;/config&gt;</dc:description>
  <cp:lastModifiedBy>汕头老马</cp:lastModifiedBy>
  <cp:lastPrinted>2023-09-28T07:20:00Z</cp:lastPrinted>
  <dcterms:modified xsi:type="dcterms:W3CDTF">2023-10-26T08:11:20Z</dcterms:modified>
  <dc:title>地方标准</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2052-12.1.0.15712</vt:lpwstr>
  </property>
  <property fmtid="{D5CDD505-2E9C-101B-9397-08002B2CF9AE}" pid="16" name="ICV">
    <vt:lpwstr>371E3D6DA0D545BDACC0ADABED36D135_13</vt:lpwstr>
  </property>
</Properties>
</file>