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240" w:lineRule="auto"/>
        <w:ind w:firstLine="0" w:firstLineChars="0"/>
        <w:jc w:val="both"/>
        <w:rPr>
          <w:rFonts w:hint="eastAsia" w:ascii="仿宋_GB2312" w:eastAsia="仿宋_GB2312"/>
          <w:bCs/>
          <w:szCs w:val="24"/>
        </w:rPr>
      </w:pPr>
      <w:r>
        <w:rPr>
          <w:rFonts w:hint="eastAsia" w:hAnsi="宋体"/>
          <w:b/>
          <w:sz w:val="30"/>
          <w:szCs w:val="30"/>
        </w:rPr>
        <w:t>审批意见：</w:t>
      </w:r>
    </w:p>
    <w:p>
      <w:pPr>
        <w:keepNext w:val="0"/>
        <w:keepLines w:val="0"/>
        <w:pageBreakBefore w:val="0"/>
        <w:widowControl w:val="0"/>
        <w:kinsoku/>
        <w:overflowPunct/>
        <w:topLinePunct w:val="0"/>
        <w:autoSpaceDE/>
        <w:autoSpaceDN/>
        <w:bidi w:val="0"/>
        <w:spacing w:before="299" w:beforeLines="50" w:line="320" w:lineRule="exact"/>
        <w:ind w:firstLine="562"/>
        <w:jc w:val="right"/>
        <w:textAlignment w:val="auto"/>
        <w:rPr>
          <w:rFonts w:hint="eastAsia" w:ascii="仿宋" w:hAnsi="仿宋" w:eastAsia="仿宋" w:cs="仿宋"/>
          <w:color w:val="000000"/>
        </w:rPr>
      </w:pPr>
      <w:r>
        <w:rPr>
          <w:rFonts w:hint="eastAsia" w:ascii="仿宋_GB2312" w:hAnsi="宋体" w:eastAsia="仿宋_GB2312"/>
          <w:b/>
          <w:sz w:val="28"/>
          <w:szCs w:val="28"/>
          <w:u w:val="single"/>
        </w:rPr>
        <w:t>汕保环建</w:t>
      </w:r>
      <w:r>
        <w:rPr>
          <w:rFonts w:ascii="仿宋_GB2312" w:hAnsi="宋体" w:eastAsia="仿宋_GB2312"/>
          <w:b/>
          <w:sz w:val="28"/>
          <w:szCs w:val="28"/>
          <w:u w:val="single"/>
        </w:rPr>
        <w:t>[</w:t>
      </w:r>
      <w:r>
        <w:rPr>
          <w:rFonts w:hint="eastAsia" w:ascii="仿宋_GB2312" w:hAnsi="宋体" w:eastAsia="仿宋_GB2312"/>
          <w:b/>
          <w:sz w:val="28"/>
          <w:szCs w:val="28"/>
          <w:u w:val="single"/>
          <w:lang w:val="en-US" w:eastAsia="zh-CN"/>
        </w:rPr>
        <w:t>2020</w:t>
      </w:r>
      <w:r>
        <w:rPr>
          <w:rFonts w:ascii="仿宋_GB2312" w:hAnsi="宋体" w:eastAsia="仿宋_GB2312"/>
          <w:b/>
          <w:sz w:val="28"/>
          <w:szCs w:val="28"/>
          <w:u w:val="single"/>
        </w:rPr>
        <w:t>]</w:t>
      </w:r>
      <w:r>
        <w:rPr>
          <w:rFonts w:hint="eastAsia" w:ascii="仿宋_GB2312" w:hAnsi="宋体" w:eastAsia="仿宋_GB2312"/>
          <w:b/>
          <w:sz w:val="28"/>
          <w:szCs w:val="28"/>
          <w:u w:val="single"/>
        </w:rPr>
        <w:t>0</w:t>
      </w:r>
      <w:r>
        <w:rPr>
          <w:rFonts w:hint="eastAsia" w:ascii="仿宋_GB2312" w:hAnsi="宋体" w:eastAsia="仿宋_GB2312"/>
          <w:b/>
          <w:sz w:val="28"/>
          <w:szCs w:val="28"/>
          <w:u w:val="single"/>
          <w:lang w:val="en-US" w:eastAsia="zh-CN"/>
        </w:rPr>
        <w:t>6</w:t>
      </w:r>
      <w:r>
        <w:rPr>
          <w:rFonts w:hint="eastAsia" w:ascii="仿宋_GB2312" w:hAnsi="宋体" w:eastAsia="仿宋_GB2312"/>
          <w:b/>
          <w:sz w:val="28"/>
          <w:szCs w:val="28"/>
          <w:u w:val="single"/>
        </w:rPr>
        <w:t>号</w:t>
      </w:r>
    </w:p>
    <w:p>
      <w:pPr>
        <w:keepNext w:val="0"/>
        <w:keepLines w:val="0"/>
        <w:pageBreakBefore w:val="0"/>
        <w:widowControl w:val="0"/>
        <w:tabs>
          <w:tab w:val="left" w:pos="8904"/>
        </w:tabs>
        <w:kinsoku/>
        <w:wordWrap w:val="0"/>
        <w:overflowPunct/>
        <w:topLinePunct w:val="0"/>
        <w:autoSpaceDE/>
        <w:autoSpaceDN/>
        <w:bidi w:val="0"/>
        <w:adjustRightInd w:val="0"/>
        <w:snapToGrid w:val="0"/>
        <w:spacing w:line="360" w:lineRule="exact"/>
        <w:ind w:left="0" w:leftChars="0" w:right="0" w:rightChars="0" w:firstLine="480" w:firstLineChars="200"/>
        <w:jc w:val="both"/>
        <w:textAlignment w:val="baseline"/>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广东三宝新材料科技股份有限公司人工合成氟金云母粉生产线技术改造项目位于汕头保税区B11-5地块佳丰大厦，占地面积1979.76</w:t>
      </w:r>
      <w:r>
        <w:rPr>
          <w:rFonts w:hint="eastAsia" w:ascii="仿宋" w:hAnsi="仿宋" w:eastAsia="仿宋" w:cs="仿宋"/>
          <w:color w:val="000000"/>
          <w:kern w:val="0"/>
          <w:sz w:val="28"/>
          <w:szCs w:val="28"/>
          <w:lang w:val="en-US" w:eastAsia="zh-CN" w:bidi="ar-SA"/>
        </w:rPr>
        <w:t>m</w:t>
      </w:r>
      <w:r>
        <w:rPr>
          <w:rFonts w:hint="eastAsia" w:ascii="仿宋" w:hAnsi="仿宋" w:eastAsia="仿宋" w:cs="仿宋"/>
          <w:color w:val="000000"/>
          <w:kern w:val="0"/>
          <w:sz w:val="28"/>
          <w:szCs w:val="28"/>
          <w:vertAlign w:val="superscript"/>
          <w:lang w:val="en-US" w:eastAsia="zh-CN" w:bidi="ar-SA"/>
        </w:rPr>
        <w:t>2</w:t>
      </w:r>
      <w:r>
        <w:rPr>
          <w:rFonts w:hint="eastAsia" w:ascii="仿宋" w:hAnsi="仿宋" w:eastAsia="仿宋" w:cs="仿宋"/>
          <w:color w:val="000000"/>
          <w:kern w:val="0"/>
          <w:sz w:val="24"/>
          <w:szCs w:val="24"/>
          <w:lang w:val="en-US" w:eastAsia="zh-CN" w:bidi="ar-SA"/>
        </w:rPr>
        <w:t>，建筑面积5776.81 m</w:t>
      </w:r>
      <w:r>
        <w:rPr>
          <w:rFonts w:hint="eastAsia" w:ascii="仿宋" w:hAnsi="仿宋" w:eastAsia="仿宋" w:cs="仿宋"/>
          <w:color w:val="000000"/>
          <w:kern w:val="0"/>
          <w:sz w:val="28"/>
          <w:szCs w:val="28"/>
          <w:vertAlign w:val="superscript"/>
          <w:lang w:val="en-US" w:eastAsia="zh-CN" w:bidi="ar-SA"/>
        </w:rPr>
        <w:t>2</w:t>
      </w:r>
      <w:r>
        <w:rPr>
          <w:rFonts w:hint="eastAsia" w:ascii="仿宋" w:hAnsi="仿宋" w:eastAsia="仿宋" w:cs="仿宋"/>
          <w:color w:val="000000"/>
          <w:kern w:val="0"/>
          <w:sz w:val="24"/>
          <w:szCs w:val="24"/>
          <w:lang w:val="en-US" w:eastAsia="zh-CN" w:bidi="ar-SA"/>
        </w:rPr>
        <w:t>，主要从事合成云母粉加工，以外购的合成云母片为主要原材料。公司拟投资100万元，对现有生产线进行改造，增加初分级、细分级、精分级步骤，技改后全厂年产合成云母粉1500吨，年增加副产品次级云母粉100吨。此次技改将热风炉燃料由柴油改为天然气，并将废水处理设施和废水总排口由厂区东南角迁移至厂区西北角。项目依托原员工食堂，不配套员工宿舍。原则同意该项目建设。</w:t>
      </w:r>
    </w:p>
    <w:p>
      <w:pPr>
        <w:keepNext w:val="0"/>
        <w:keepLines w:val="0"/>
        <w:pageBreakBefore w:val="0"/>
        <w:widowControl w:val="0"/>
        <w:numPr>
          <w:ilvl w:val="0"/>
          <w:numId w:val="0"/>
        </w:numPr>
        <w:tabs>
          <w:tab w:val="left" w:pos="8904"/>
        </w:tabs>
        <w:kinsoku/>
        <w:wordWrap w:val="0"/>
        <w:overflowPunct/>
        <w:topLinePunct w:val="0"/>
        <w:autoSpaceDE/>
        <w:autoSpaceDN/>
        <w:bidi w:val="0"/>
        <w:adjustRightInd w:val="0"/>
        <w:snapToGrid w:val="0"/>
        <w:spacing w:line="360" w:lineRule="exact"/>
        <w:ind w:leftChars="0" w:right="0" w:rightChars="0" w:firstLine="480" w:firstLineChars="200"/>
        <w:jc w:val="both"/>
        <w:textAlignment w:val="baseline"/>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项目营运期间：废水主要包括漂洗、水力破碎、分级清洗、脱水工序产生的工艺废水、车间清洗废水、除尘废水和员工生活污水。工艺废水及车间清洗废水须经配套的多级沉降池沉淀后排放；水浴除尘废水须经隔渣处理后循环使用不外排；员工生活污水须经三级隔油池、化粪池预处理后排入保税区市政污水管网再汇入汕头市南区污水处理厂濠江分厂集中处理。废气主要为包装工序产生的粉尘（颗粒物）、烘干工序产生的热废气、热风炉使用的天然气产生的燃烧废气、食堂油烟。对包装工序产生的颗粒物须经集气罩收集再通过布袋除尘+水浴除尘处理后回用；烘干工序产生的热废气无组织排放；热风炉的燃烧烟气须经排气筒引高排放，排气筒高度应不低于15米；食堂油烟采用原高效静电油烟净化设施进行处理，达标排放。噪声主要来自生产过程中的车间设备，须采取减震、隔声等措施，确保达标排放。固体废物中，沉降池废渣和除尘废渣主要成分是云母颗粒，经回收烘干后作为次级云母粉出售；废包装材料由生产厂商回收利用；生活垃圾应统一收集后交环卫部门处理，日产日清。</w:t>
      </w:r>
    </w:p>
    <w:p>
      <w:pPr>
        <w:keepNext w:val="0"/>
        <w:keepLines w:val="0"/>
        <w:pageBreakBefore w:val="0"/>
        <w:widowControl w:val="0"/>
        <w:numPr>
          <w:ilvl w:val="0"/>
          <w:numId w:val="0"/>
        </w:numPr>
        <w:tabs>
          <w:tab w:val="left" w:pos="8904"/>
        </w:tabs>
        <w:kinsoku/>
        <w:wordWrap w:val="0"/>
        <w:overflowPunct/>
        <w:topLinePunct w:val="0"/>
        <w:autoSpaceDE/>
        <w:autoSpaceDN/>
        <w:bidi w:val="0"/>
        <w:adjustRightInd w:val="0"/>
        <w:snapToGrid w:val="0"/>
        <w:spacing w:line="360" w:lineRule="exact"/>
        <w:ind w:leftChars="0" w:right="0" w:rightChars="0" w:firstLine="480" w:firstLineChars="200"/>
        <w:jc w:val="both"/>
        <w:textAlignment w:val="baseline"/>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应建立健全环保管理制度，强化各项环保管理人员综合能力。</w:t>
      </w:r>
    </w:p>
    <w:p>
      <w:pPr>
        <w:keepNext w:val="0"/>
        <w:keepLines w:val="0"/>
        <w:pageBreakBefore w:val="0"/>
        <w:widowControl w:val="0"/>
        <w:numPr>
          <w:ilvl w:val="0"/>
          <w:numId w:val="0"/>
        </w:numPr>
        <w:tabs>
          <w:tab w:val="left" w:pos="8904"/>
        </w:tabs>
        <w:kinsoku/>
        <w:wordWrap w:val="0"/>
        <w:overflowPunct/>
        <w:topLinePunct w:val="0"/>
        <w:autoSpaceDE/>
        <w:autoSpaceDN/>
        <w:bidi w:val="0"/>
        <w:adjustRightInd w:val="0"/>
        <w:snapToGrid w:val="0"/>
        <w:spacing w:line="360" w:lineRule="exact"/>
        <w:ind w:leftChars="0" w:right="0" w:rightChars="0" w:firstLine="480" w:firstLineChars="200"/>
        <w:jc w:val="both"/>
        <w:textAlignment w:val="baseline"/>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技改后全厂污染物排放总量指标控制为：各项水污染物排放指标纳入汕头市南区污水处理厂濠江分厂统一管理；大气污染物：SO</w:t>
      </w:r>
      <w:r>
        <w:rPr>
          <w:rFonts w:hint="eastAsia" w:ascii="仿宋" w:hAnsi="仿宋" w:eastAsia="仿宋" w:cs="仿宋"/>
          <w:color w:val="000000"/>
          <w:kern w:val="0"/>
          <w:sz w:val="28"/>
          <w:szCs w:val="28"/>
          <w:vertAlign w:val="superscript"/>
          <w:lang w:val="en-US" w:eastAsia="zh-CN" w:bidi="ar-SA"/>
        </w:rPr>
        <w:t>2</w:t>
      </w:r>
      <w:r>
        <w:rPr>
          <w:rFonts w:hint="eastAsia" w:ascii="仿宋" w:hAnsi="仿宋" w:eastAsia="仿宋" w:cs="仿宋"/>
          <w:color w:val="000000"/>
          <w:kern w:val="0"/>
          <w:sz w:val="24"/>
          <w:szCs w:val="24"/>
          <w:lang w:val="en-US" w:eastAsia="zh-CN" w:bidi="ar-SA"/>
        </w:rPr>
        <w:t>：0.05t/a；NOx：015t/a。</w:t>
      </w:r>
    </w:p>
    <w:p>
      <w:pPr>
        <w:keepNext w:val="0"/>
        <w:keepLines w:val="0"/>
        <w:pageBreakBefore w:val="0"/>
        <w:widowControl w:val="0"/>
        <w:numPr>
          <w:ilvl w:val="0"/>
          <w:numId w:val="0"/>
        </w:numPr>
        <w:tabs>
          <w:tab w:val="left" w:pos="8904"/>
        </w:tabs>
        <w:kinsoku/>
        <w:wordWrap w:val="0"/>
        <w:overflowPunct/>
        <w:topLinePunct w:val="0"/>
        <w:autoSpaceDE/>
        <w:autoSpaceDN/>
        <w:bidi w:val="0"/>
        <w:adjustRightInd w:val="0"/>
        <w:snapToGrid w:val="0"/>
        <w:spacing w:line="360" w:lineRule="exact"/>
        <w:ind w:leftChars="0" w:right="0" w:rightChars="0" w:firstLine="480" w:firstLineChars="200"/>
        <w:jc w:val="both"/>
        <w:textAlignment w:val="baseline"/>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批复未尽事项，按该项目《环境影响报告表》执行。</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0"/>
        <w:jc w:val="both"/>
        <w:rPr>
          <w:rFonts w:hint="eastAsia" w:ascii="仿宋" w:hAnsi="仿宋" w:eastAsia="仿宋" w:cs="仿宋"/>
          <w:b/>
          <w:color w:val="000000"/>
          <w:kern w:val="0"/>
          <w:sz w:val="24"/>
          <w:szCs w:val="24"/>
        </w:rPr>
      </w:pP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0"/>
        <w:jc w:val="both"/>
        <w:rPr>
          <w:rFonts w:ascii="仿宋" w:hAnsi="仿宋" w:eastAsia="仿宋" w:cs="仿宋"/>
          <w:b/>
          <w:color w:val="000000"/>
          <w:kern w:val="0"/>
          <w:sz w:val="24"/>
          <w:szCs w:val="24"/>
        </w:rPr>
      </w:pPr>
      <w:r>
        <w:rPr>
          <w:rFonts w:hint="eastAsia" w:ascii="仿宋" w:hAnsi="仿宋" w:eastAsia="仿宋" w:cs="仿宋"/>
          <w:b/>
          <w:color w:val="000000"/>
          <w:kern w:val="0"/>
          <w:sz w:val="24"/>
          <w:szCs w:val="24"/>
        </w:rPr>
        <w:t>该项目执行标准：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一、废水排放执行《水污染</w:t>
      </w:r>
      <w:r>
        <w:rPr>
          <w:rFonts w:hint="eastAsia" w:ascii="仿宋" w:hAnsi="仿宋" w:eastAsia="仿宋" w:cs="仿宋"/>
          <w:color w:val="000000"/>
          <w:kern w:val="0"/>
          <w:sz w:val="24"/>
          <w:szCs w:val="24"/>
          <w:lang w:eastAsia="zh-CN"/>
        </w:rPr>
        <w:t>物</w:t>
      </w:r>
      <w:r>
        <w:rPr>
          <w:rFonts w:hint="eastAsia" w:ascii="仿宋" w:hAnsi="仿宋" w:eastAsia="仿宋" w:cs="仿宋"/>
          <w:color w:val="000000"/>
          <w:kern w:val="0"/>
          <w:sz w:val="24"/>
          <w:szCs w:val="24"/>
        </w:rPr>
        <w:t>排放限值》（DB44/26--2001）第二时段三级标准。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0"/>
        <w:jc w:val="both"/>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二、包装过程产生的粉尘（颗粒物）排放执行广东省《大气污染物排放表》（DB44/27-2001）第二时段无组织排放</w:t>
      </w:r>
      <w:r>
        <w:rPr>
          <w:rFonts w:hint="eastAsia" w:ascii="仿宋" w:hAnsi="仿宋" w:eastAsia="仿宋" w:cs="仿宋"/>
          <w:color w:val="000000"/>
          <w:kern w:val="0"/>
          <w:sz w:val="24"/>
          <w:szCs w:val="24"/>
          <w:lang w:val="en-US" w:eastAsia="zh-CN"/>
        </w:rPr>
        <w:t>监控要求</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热风炉燃烧废气执行《锅炉大气污染物排放标准》（DB44/765-2019）新建燃气锅炉大气污染物排放浓度限值</w:t>
      </w:r>
      <w:r>
        <w:rPr>
          <w:rFonts w:hint="eastAsia" w:ascii="仿宋" w:hAnsi="仿宋" w:eastAsia="仿宋" w:cs="仿宋"/>
          <w:color w:val="000000"/>
          <w:kern w:val="0"/>
          <w:sz w:val="24"/>
          <w:szCs w:val="24"/>
          <w:lang w:eastAsia="zh-CN"/>
        </w:rPr>
        <w:t>；食堂油烟废气排放执行《饮食业油烟排放标准（试行）》（GB18483-2001）中型标准。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三、噪声排放执行《工业企业厂界环境噪声排放标准》（GB12348-2008）3类标准。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四、</w:t>
      </w:r>
      <w:r>
        <w:rPr>
          <w:rFonts w:hint="eastAsia" w:ascii="仿宋" w:hAnsi="仿宋" w:eastAsia="仿宋" w:cs="仿宋"/>
          <w:color w:val="000000"/>
          <w:kern w:val="0"/>
          <w:sz w:val="24"/>
          <w:szCs w:val="24"/>
        </w:rPr>
        <w:t>危险废物临时存放应符合《危险废物贮存污染控制标准》（GB18597-2001）要求</w:t>
      </w:r>
      <w:r>
        <w:rPr>
          <w:rFonts w:hint="eastAsia" w:ascii="仿宋" w:hAnsi="仿宋" w:eastAsia="仿宋" w:cs="仿宋"/>
          <w:color w:val="000000"/>
          <w:kern w:val="0"/>
          <w:sz w:val="24"/>
          <w:szCs w:val="24"/>
          <w:lang w:eastAsia="zh-CN"/>
        </w:rPr>
        <w:t>；一般</w:t>
      </w:r>
      <w:r>
        <w:rPr>
          <w:rFonts w:hint="eastAsia" w:ascii="仿宋" w:hAnsi="仿宋" w:eastAsia="仿宋" w:cs="仿宋"/>
          <w:color w:val="000000"/>
          <w:kern w:val="0"/>
          <w:sz w:val="24"/>
          <w:szCs w:val="24"/>
        </w:rPr>
        <w:t>固体废物遵照《一般工业固体废物贮存、处理场污染控制标准》（GB18599-2001）及修改单（环境保护部公告2013年第36号）进行管理。</w:t>
      </w:r>
    </w:p>
    <w:p>
      <w:bookmarkStart w:id="0" w:name="_GoBack"/>
      <w:bookmarkEnd w:id="0"/>
    </w:p>
    <w:sectPr>
      <w:footerReference r:id="rId3" w:type="default"/>
      <w:pgSz w:w="11906" w:h="16838"/>
      <w:pgMar w:top="1327" w:right="1463" w:bottom="1327" w:left="1463"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46D"/>
    <w:rsid w:val="000724FC"/>
    <w:rsid w:val="000803B2"/>
    <w:rsid w:val="001000F3"/>
    <w:rsid w:val="00106784"/>
    <w:rsid w:val="001115CE"/>
    <w:rsid w:val="00113E71"/>
    <w:rsid w:val="001209AE"/>
    <w:rsid w:val="001324D8"/>
    <w:rsid w:val="001415C8"/>
    <w:rsid w:val="001427DA"/>
    <w:rsid w:val="001440B5"/>
    <w:rsid w:val="0014609D"/>
    <w:rsid w:val="00177B41"/>
    <w:rsid w:val="00180AA3"/>
    <w:rsid w:val="001817E5"/>
    <w:rsid w:val="0018406A"/>
    <w:rsid w:val="001959F2"/>
    <w:rsid w:val="001C3F96"/>
    <w:rsid w:val="001C4305"/>
    <w:rsid w:val="001D08D2"/>
    <w:rsid w:val="001E5C39"/>
    <w:rsid w:val="00257B24"/>
    <w:rsid w:val="00285A53"/>
    <w:rsid w:val="00297E83"/>
    <w:rsid w:val="002A0C93"/>
    <w:rsid w:val="002C41BE"/>
    <w:rsid w:val="0030558E"/>
    <w:rsid w:val="003070E8"/>
    <w:rsid w:val="00370CB9"/>
    <w:rsid w:val="003848DB"/>
    <w:rsid w:val="003935CA"/>
    <w:rsid w:val="003A31A1"/>
    <w:rsid w:val="003F4D2C"/>
    <w:rsid w:val="00405999"/>
    <w:rsid w:val="00416418"/>
    <w:rsid w:val="0042318B"/>
    <w:rsid w:val="004268E2"/>
    <w:rsid w:val="00427F5A"/>
    <w:rsid w:val="00431577"/>
    <w:rsid w:val="00457F61"/>
    <w:rsid w:val="00460F25"/>
    <w:rsid w:val="004765D1"/>
    <w:rsid w:val="00483826"/>
    <w:rsid w:val="004960F3"/>
    <w:rsid w:val="004B562F"/>
    <w:rsid w:val="004C57A0"/>
    <w:rsid w:val="00501F14"/>
    <w:rsid w:val="00516C35"/>
    <w:rsid w:val="00533F29"/>
    <w:rsid w:val="00562C48"/>
    <w:rsid w:val="005A77F2"/>
    <w:rsid w:val="005B19A9"/>
    <w:rsid w:val="005C5F5B"/>
    <w:rsid w:val="005E64D6"/>
    <w:rsid w:val="005F646D"/>
    <w:rsid w:val="007045F7"/>
    <w:rsid w:val="00734FC3"/>
    <w:rsid w:val="00785211"/>
    <w:rsid w:val="007F10E3"/>
    <w:rsid w:val="00811C80"/>
    <w:rsid w:val="00821C82"/>
    <w:rsid w:val="008538E3"/>
    <w:rsid w:val="008733D9"/>
    <w:rsid w:val="00886621"/>
    <w:rsid w:val="008B43C8"/>
    <w:rsid w:val="008E350B"/>
    <w:rsid w:val="0092491A"/>
    <w:rsid w:val="009421A6"/>
    <w:rsid w:val="009628CE"/>
    <w:rsid w:val="00965009"/>
    <w:rsid w:val="00991F32"/>
    <w:rsid w:val="00997336"/>
    <w:rsid w:val="009A3763"/>
    <w:rsid w:val="009F6B30"/>
    <w:rsid w:val="00A1587D"/>
    <w:rsid w:val="00A16D16"/>
    <w:rsid w:val="00A327FB"/>
    <w:rsid w:val="00A42E9D"/>
    <w:rsid w:val="00A75F11"/>
    <w:rsid w:val="00A9212D"/>
    <w:rsid w:val="00AA4D74"/>
    <w:rsid w:val="00AB3F0D"/>
    <w:rsid w:val="00AD72AB"/>
    <w:rsid w:val="00B30040"/>
    <w:rsid w:val="00B34100"/>
    <w:rsid w:val="00B550D3"/>
    <w:rsid w:val="00B73832"/>
    <w:rsid w:val="00B8508D"/>
    <w:rsid w:val="00B97F12"/>
    <w:rsid w:val="00BA6A83"/>
    <w:rsid w:val="00BC1313"/>
    <w:rsid w:val="00BC6A80"/>
    <w:rsid w:val="00BD5E5E"/>
    <w:rsid w:val="00C92A82"/>
    <w:rsid w:val="00CA2D00"/>
    <w:rsid w:val="00CF4581"/>
    <w:rsid w:val="00D373A0"/>
    <w:rsid w:val="00D912E2"/>
    <w:rsid w:val="00DD2C05"/>
    <w:rsid w:val="00DF2E0F"/>
    <w:rsid w:val="00E064A4"/>
    <w:rsid w:val="00E21CD7"/>
    <w:rsid w:val="00E34087"/>
    <w:rsid w:val="00E434ED"/>
    <w:rsid w:val="00E734EB"/>
    <w:rsid w:val="00E83768"/>
    <w:rsid w:val="00EA026D"/>
    <w:rsid w:val="00EC58DB"/>
    <w:rsid w:val="00EC726D"/>
    <w:rsid w:val="00F13D4C"/>
    <w:rsid w:val="00F41BAF"/>
    <w:rsid w:val="00F555C2"/>
    <w:rsid w:val="00F63AC4"/>
    <w:rsid w:val="00FB27ED"/>
    <w:rsid w:val="043A4999"/>
    <w:rsid w:val="04EE7B2A"/>
    <w:rsid w:val="1AB46B8D"/>
    <w:rsid w:val="1FD85F66"/>
    <w:rsid w:val="2CCF2D13"/>
    <w:rsid w:val="316350E8"/>
    <w:rsid w:val="328D07C5"/>
    <w:rsid w:val="32F3432B"/>
    <w:rsid w:val="34F479C9"/>
    <w:rsid w:val="42D62F3E"/>
    <w:rsid w:val="4567024E"/>
    <w:rsid w:val="4F783606"/>
    <w:rsid w:val="56094D12"/>
    <w:rsid w:val="57101EAA"/>
    <w:rsid w:val="57FA797C"/>
    <w:rsid w:val="5AAE2712"/>
    <w:rsid w:val="5B472603"/>
    <w:rsid w:val="5DBD7CF7"/>
    <w:rsid w:val="64932D5D"/>
    <w:rsid w:val="67334B7E"/>
    <w:rsid w:val="6B874A30"/>
    <w:rsid w:val="704233D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Balloon Text"/>
    <w:basedOn w:val="1"/>
    <w:link w:val="14"/>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paragraph" w:customStyle="1" w:styleId="9">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0">
    <w:name w:val="页眉 Char"/>
    <w:basedOn w:val="7"/>
    <w:link w:val="5"/>
    <w:semiHidden/>
    <w:qFormat/>
    <w:locked/>
    <w:uiPriority w:val="99"/>
    <w:rPr>
      <w:rFonts w:ascii="Times New Roman" w:hAnsi="Times New Roman" w:eastAsia="宋体" w:cs="Times New Roman"/>
      <w:sz w:val="18"/>
      <w:szCs w:val="18"/>
    </w:rPr>
  </w:style>
  <w:style w:type="character" w:customStyle="1" w:styleId="11">
    <w:name w:val="页脚 Char"/>
    <w:basedOn w:val="7"/>
    <w:link w:val="4"/>
    <w:semiHidden/>
    <w:qFormat/>
    <w:locked/>
    <w:uiPriority w:val="99"/>
    <w:rPr>
      <w:rFonts w:ascii="Times New Roman" w:hAnsi="Times New Roman" w:eastAsia="宋体" w:cs="Times New Roman"/>
      <w:sz w:val="18"/>
      <w:szCs w:val="18"/>
    </w:rPr>
  </w:style>
  <w:style w:type="paragraph" w:customStyle="1" w:styleId="12">
    <w:name w:val="1"/>
    <w:basedOn w:val="1"/>
    <w:qFormat/>
    <w:uiPriority w:val="99"/>
    <w:rPr>
      <w:szCs w:val="21"/>
    </w:rPr>
  </w:style>
  <w:style w:type="character" w:customStyle="1" w:styleId="13">
    <w:name w:val="apple-converted-space"/>
    <w:basedOn w:val="7"/>
    <w:qFormat/>
    <w:uiPriority w:val="99"/>
    <w:rPr>
      <w:rFonts w:cs="Times New Roman"/>
    </w:rPr>
  </w:style>
  <w:style w:type="character" w:customStyle="1" w:styleId="14">
    <w:name w:val="批注框文本 Char"/>
    <w:basedOn w:val="7"/>
    <w:link w:val="3"/>
    <w:semiHidden/>
    <w:qFormat/>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169</Words>
  <Characters>966</Characters>
  <Lines>8</Lines>
  <Paragraphs>2</Paragraphs>
  <TotalTime>1</TotalTime>
  <ScaleCrop>false</ScaleCrop>
  <LinksUpToDate>false</LinksUpToDate>
  <CharactersWithSpaces>1133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2017-09-04T06:40:00Z</dcterms:created>
  <dc:creator>user</dc:creator>
  <cp:lastModifiedBy>lenovo-pc</cp:lastModifiedBy>
  <cp:lastPrinted>2019-03-22T04:02:00Z</cp:lastPrinted>
  <dcterms:modified xsi:type="dcterms:W3CDTF">2020-06-23T02:08:53Z</dcterms:modified>
  <dc:title>审批意见: </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