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 汕头市现代农业产业园建设综合绩效评价表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30"/>
        <w:gridCol w:w="1016"/>
        <w:gridCol w:w="10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考核指标</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分值</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Header/>
        </w:trPr>
        <w:tc>
          <w:tcPr>
            <w:tcW w:w="14000"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r>
              <w:rPr>
                <w:rStyle w:val="7"/>
                <w:rFonts w:hint="eastAsia" w:ascii="仿宋_GB2312" w:hAnsi="仿宋_GB2312" w:eastAsia="仿宋_GB2312" w:cs="仿宋_GB2312"/>
                <w:sz w:val="30"/>
                <w:szCs w:val="30"/>
                <w:lang w:val="en-US" w:eastAsia="zh-CN" w:bidi="ar"/>
              </w:rPr>
              <w:t>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1.1 </w:t>
            </w:r>
            <w:r>
              <w:rPr>
                <w:rStyle w:val="7"/>
                <w:rFonts w:hint="eastAsia" w:ascii="仿宋_GB2312" w:hAnsi="仿宋_GB2312" w:eastAsia="仿宋_GB2312" w:cs="仿宋_GB2312"/>
                <w:sz w:val="30"/>
                <w:szCs w:val="30"/>
                <w:lang w:val="en-US" w:eastAsia="zh-CN" w:bidi="ar"/>
              </w:rPr>
              <w:t>产业集中度</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1.1.1 主导产业产值占产业园农业总产值比值≥40%的，得10分；＜30%，得0分。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其余得分按“主导产业产值占产业园农业总产值的百分比”÷40%×10分计算。。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1.2 </w:t>
            </w:r>
            <w:r>
              <w:rPr>
                <w:rStyle w:val="7"/>
                <w:rFonts w:hint="eastAsia" w:ascii="仿宋_GB2312" w:hAnsi="仿宋_GB2312" w:eastAsia="仿宋_GB2312" w:cs="仿宋_GB2312"/>
                <w:sz w:val="30"/>
                <w:szCs w:val="30"/>
                <w:lang w:val="en-US" w:eastAsia="zh-CN" w:bidi="ar"/>
              </w:rPr>
              <w:t>产业链完整（包括种养、加工、流通、研发等）</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1.2.1 种养、加工、流通、研发功能齐全的，得10分；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1.2.2 种养、加工、流通、研发功能比较齐全（缺1项），得6分；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1.2.3 种养、加工、流通、研发功能比较齐全（缺2项以上），得0分。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1.3 </w:t>
            </w:r>
            <w:r>
              <w:rPr>
                <w:rStyle w:val="7"/>
                <w:rFonts w:hint="eastAsia" w:ascii="仿宋_GB2312" w:hAnsi="仿宋_GB2312" w:eastAsia="仿宋_GB2312" w:cs="仿宋_GB2312"/>
                <w:sz w:val="30"/>
                <w:szCs w:val="30"/>
                <w:lang w:val="en-US" w:eastAsia="zh-CN" w:bidi="ar"/>
              </w:rPr>
              <w:t>农业龙头企业和农民专业合作社示范社数量</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1.3.1 </w:t>
            </w:r>
            <w:r>
              <w:rPr>
                <w:rStyle w:val="9"/>
                <w:rFonts w:hint="eastAsia" w:ascii="仿宋_GB2312" w:hAnsi="仿宋_GB2312" w:eastAsia="仿宋_GB2312" w:cs="仿宋_GB2312"/>
                <w:sz w:val="30"/>
                <w:szCs w:val="30"/>
                <w:lang w:val="en-US" w:eastAsia="zh-CN" w:bidi="ar"/>
              </w:rPr>
              <w:t>产业园中有1个以上市级龙头企业或3个以上区（县）级龙头企业，得10分；其余得分按“产业园有区（县）级龙头企业或有市级以上农民专业合作社示范社的数量”÷5个×10分；产业园中无区（县）级以上龙头企业，得0分。鼓励建设产业化联</w:t>
            </w:r>
            <w:r>
              <w:rPr>
                <w:rFonts w:hint="eastAsia" w:ascii="仿宋_GB2312" w:hAnsi="仿宋_GB2312" w:eastAsia="仿宋_GB2312" w:cs="仿宋_GB2312"/>
                <w:i w:val="0"/>
                <w:color w:val="000000"/>
                <w:kern w:val="0"/>
                <w:sz w:val="30"/>
                <w:szCs w:val="30"/>
                <w:u w:val="none"/>
                <w:lang w:val="en-US" w:eastAsia="zh-CN" w:bidi="ar"/>
              </w:rPr>
              <w:t>合体，每建设1个产业化联合体的，得5分。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Header/>
        </w:trPr>
        <w:tc>
          <w:tcPr>
            <w:tcW w:w="14000"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 </w:t>
            </w:r>
            <w:r>
              <w:rPr>
                <w:rStyle w:val="7"/>
                <w:rFonts w:hint="eastAsia" w:ascii="仿宋_GB2312" w:hAnsi="仿宋_GB2312" w:eastAsia="仿宋_GB2312" w:cs="仿宋_GB2312"/>
                <w:sz w:val="30"/>
                <w:szCs w:val="30"/>
                <w:lang w:val="en-US" w:eastAsia="zh-CN" w:bidi="ar"/>
              </w:rPr>
              <w:t>农民增收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2.1 </w:t>
            </w:r>
            <w:r>
              <w:rPr>
                <w:rStyle w:val="7"/>
                <w:rFonts w:hint="eastAsia" w:ascii="仿宋_GB2312" w:hAnsi="仿宋_GB2312" w:eastAsia="仿宋_GB2312" w:cs="仿宋_GB2312"/>
                <w:sz w:val="30"/>
                <w:szCs w:val="30"/>
                <w:lang w:val="en-US" w:eastAsia="zh-CN" w:bidi="ar"/>
              </w:rPr>
              <w:t>实施主体与农民构建稳定利益联结机制</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i w:val="0"/>
                <w:color w:val="000000"/>
                <w:kern w:val="0"/>
                <w:sz w:val="30"/>
                <w:szCs w:val="30"/>
                <w:u w:val="none"/>
                <w:lang w:val="en-US" w:eastAsia="zh-CN" w:bidi="ar"/>
              </w:rPr>
              <w:t xml:space="preserve">2.1.1 </w:t>
            </w:r>
            <w:r>
              <w:rPr>
                <w:rStyle w:val="9"/>
                <w:rFonts w:hint="eastAsia" w:ascii="仿宋_GB2312" w:hAnsi="仿宋_GB2312" w:eastAsia="仿宋_GB2312" w:cs="仿宋_GB2312"/>
                <w:sz w:val="30"/>
                <w:szCs w:val="30"/>
                <w:lang w:val="en-US" w:eastAsia="zh-CN" w:bidi="ar"/>
              </w:rPr>
              <w:t>紧密型关系。新型农业经营主体与农民建立农户土地入股、资金入股分红等利益联结机制，新型农业经营主体为农户统一提供农业生产性服务和农产品销售服务，得20分。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2.1.2 松散型关系。企业或农民合作社对农户的产品进行收购，双方签订合同，为农民出售农产品提供服务，得15分；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eastAsia"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2.1.3 辐射型关系，当地农民通过流转土地收租、入园打工挣工资等方式获得利益。园区企业没有与农民或农民合作社签订农产品购销合同，农产品自由买卖，得10分;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sz w:val="30"/>
                <w:szCs w:val="30"/>
                <w:u w:val="none"/>
              </w:rPr>
            </w:pPr>
            <w:r>
              <w:rPr>
                <w:rStyle w:val="9"/>
                <w:rFonts w:hint="eastAsia" w:ascii="仿宋_GB2312" w:hAnsi="仿宋_GB2312" w:eastAsia="仿宋_GB2312" w:cs="仿宋_GB2312"/>
                <w:sz w:val="30"/>
                <w:szCs w:val="30"/>
                <w:lang w:val="en-US" w:eastAsia="zh-CN" w:bidi="ar"/>
              </w:rPr>
              <w:t>2.1.4未建</w:t>
            </w:r>
            <w:r>
              <w:rPr>
                <w:rFonts w:hint="eastAsia" w:ascii="仿宋_GB2312" w:hAnsi="仿宋_GB2312" w:eastAsia="仿宋_GB2312" w:cs="仿宋_GB2312"/>
                <w:i w:val="0"/>
                <w:color w:val="000000"/>
                <w:kern w:val="0"/>
                <w:sz w:val="30"/>
                <w:szCs w:val="30"/>
                <w:u w:val="none"/>
                <w:lang w:val="en-US" w:eastAsia="zh-CN" w:bidi="ar"/>
              </w:rPr>
              <w:t>立稳定利益联结机制，得0分。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 xml:space="preserve">2.2 </w:t>
            </w:r>
            <w:r>
              <w:rPr>
                <w:rStyle w:val="9"/>
                <w:rFonts w:hint="eastAsia" w:ascii="仿宋_GB2312" w:hAnsi="仿宋_GB2312" w:eastAsia="仿宋_GB2312" w:cs="仿宋_GB2312"/>
                <w:sz w:val="30"/>
                <w:szCs w:val="30"/>
                <w:lang w:val="en-US" w:eastAsia="zh-CN" w:bidi="ar"/>
              </w:rPr>
              <w:t>产业园内农民收入</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30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default" w:ascii="仿宋_GB2312" w:hAnsi="仿宋_GB2312" w:eastAsia="仿宋_GB2312" w:cs="仿宋_GB2312"/>
                <w:i w:val="0"/>
                <w:color w:val="000000"/>
                <w:sz w:val="30"/>
                <w:szCs w:val="30"/>
                <w:u w:val="none"/>
                <w:lang w:val="en-US"/>
              </w:rPr>
            </w:pPr>
            <w:r>
              <w:rPr>
                <w:rStyle w:val="10"/>
                <w:rFonts w:hint="eastAsia" w:ascii="仿宋_GB2312" w:hAnsi="仿宋_GB2312" w:eastAsia="仿宋_GB2312" w:cs="仿宋_GB2312"/>
                <w:sz w:val="30"/>
                <w:szCs w:val="30"/>
                <w:lang w:val="en-US" w:eastAsia="zh-CN" w:bidi="ar"/>
              </w:rPr>
              <w:t xml:space="preserve">2.2.1 </w:t>
            </w:r>
            <w:r>
              <w:rPr>
                <w:rStyle w:val="9"/>
                <w:rFonts w:hint="eastAsia" w:ascii="仿宋_GB2312" w:hAnsi="仿宋_GB2312" w:eastAsia="仿宋_GB2312" w:cs="仿宋_GB2312"/>
                <w:sz w:val="30"/>
                <w:szCs w:val="30"/>
                <w:lang w:val="en-US" w:eastAsia="zh-CN" w:bidi="ar"/>
              </w:rPr>
              <w:t>产业园内农民收入高于全区（县）平均水平12</w:t>
            </w:r>
            <w:r>
              <w:rPr>
                <w:rStyle w:val="8"/>
                <w:rFonts w:hint="eastAsia" w:ascii="仿宋_GB2312" w:hAnsi="仿宋_GB2312" w:eastAsia="仿宋_GB2312" w:cs="仿宋_GB2312"/>
                <w:sz w:val="30"/>
                <w:szCs w:val="30"/>
                <w:lang w:val="en-US" w:eastAsia="zh-CN" w:bidi="ar"/>
              </w:rPr>
              <w:t>%</w:t>
            </w:r>
            <w:r>
              <w:rPr>
                <w:rStyle w:val="9"/>
                <w:rFonts w:hint="eastAsia" w:ascii="仿宋_GB2312" w:hAnsi="仿宋_GB2312" w:eastAsia="仿宋_GB2312" w:cs="仿宋_GB2312"/>
                <w:sz w:val="30"/>
                <w:szCs w:val="30"/>
                <w:lang w:val="en-US" w:eastAsia="zh-CN" w:bidi="ar"/>
              </w:rPr>
              <w:t>以上，得</w:t>
            </w:r>
            <w:r>
              <w:rPr>
                <w:rStyle w:val="8"/>
                <w:rFonts w:hint="eastAsia" w:ascii="仿宋_GB2312" w:hAnsi="仿宋_GB2312" w:eastAsia="仿宋_GB2312" w:cs="仿宋_GB2312"/>
                <w:sz w:val="30"/>
                <w:szCs w:val="30"/>
                <w:lang w:val="en-US" w:eastAsia="zh-CN" w:bidi="ar"/>
              </w:rPr>
              <w:t>30</w:t>
            </w:r>
            <w:r>
              <w:rPr>
                <w:rStyle w:val="9"/>
                <w:rFonts w:hint="eastAsia" w:ascii="仿宋_GB2312" w:hAnsi="仿宋_GB2312" w:eastAsia="仿宋_GB2312" w:cs="仿宋_GB2312"/>
                <w:sz w:val="30"/>
                <w:szCs w:val="30"/>
                <w:lang w:val="en-US" w:eastAsia="zh-CN" w:bidi="ar"/>
              </w:rPr>
              <w:t>分；其余得分按“产业园内农民收入高于全区（县）平均水平百分比”÷12%×30分计算；得数少于15分的，按0分计算。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0" w:hRule="atLeast"/>
          <w:tblHeader/>
        </w:trPr>
        <w:tc>
          <w:tcPr>
            <w:tcW w:w="14000"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Style w:val="9"/>
                <w:rFonts w:hint="default"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3.品牌建设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Style w:val="11"/>
                <w:rFonts w:hint="eastAsia" w:ascii="仿宋_GB2312" w:hAnsi="仿宋_GB2312" w:eastAsia="仿宋_GB2312" w:cs="仿宋_GB2312"/>
                <w:sz w:val="30"/>
                <w:szCs w:val="30"/>
                <w:lang w:val="en-US" w:eastAsia="zh-CN" w:bidi="ar"/>
              </w:rPr>
              <w:t>3.1</w:t>
            </w:r>
            <w:r>
              <w:rPr>
                <w:rStyle w:val="9"/>
                <w:rFonts w:hint="eastAsia" w:ascii="仿宋_GB2312" w:hAnsi="仿宋_GB2312" w:eastAsia="仿宋_GB2312" w:cs="仿宋_GB2312"/>
                <w:sz w:val="30"/>
                <w:szCs w:val="30"/>
                <w:lang w:val="en-US" w:eastAsia="zh-CN" w:bidi="ar"/>
              </w:rPr>
              <w:t>品牌建设</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Style w:val="10"/>
                <w:rFonts w:hint="eastAsia" w:ascii="仿宋_GB2312" w:hAnsi="仿宋_GB2312" w:eastAsia="仿宋_GB2312" w:cs="仿宋_GB2312"/>
                <w:sz w:val="30"/>
                <w:szCs w:val="30"/>
                <w:lang w:val="en-US" w:eastAsia="zh-CN" w:bidi="ar"/>
              </w:rPr>
              <w:t>3.</w:t>
            </w:r>
            <w:r>
              <w:rPr>
                <w:rFonts w:hint="eastAsia" w:ascii="仿宋_GB2312" w:hAnsi="仿宋_GB2312" w:eastAsia="仿宋_GB2312" w:cs="仿宋_GB2312"/>
                <w:i w:val="0"/>
                <w:color w:val="000000"/>
                <w:kern w:val="0"/>
                <w:sz w:val="30"/>
                <w:szCs w:val="30"/>
                <w:u w:val="none"/>
                <w:lang w:val="en-US" w:eastAsia="zh-CN" w:bidi="ar"/>
              </w:rPr>
              <w:t>1.1 创建了省级区域公用品牌或者国家地理标志，得10分。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3.1.2 创建5个市级以上（包含市级）农业龙头企业品牌或者产品品牌得8分。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Style w:val="9"/>
                <w:rFonts w:hint="default" w:ascii="仿宋_GB2312" w:hAnsi="仿宋_GB2312" w:eastAsia="仿宋_GB2312" w:cs="仿宋_GB2312"/>
                <w:sz w:val="30"/>
                <w:szCs w:val="30"/>
                <w:lang w:val="en-US" w:eastAsia="zh-CN" w:bidi="ar"/>
              </w:rPr>
            </w:pPr>
            <w:r>
              <w:rPr>
                <w:rFonts w:hint="eastAsia" w:ascii="仿宋_GB2312" w:hAnsi="仿宋_GB2312" w:eastAsia="仿宋_GB2312" w:cs="仿宋_GB2312"/>
                <w:i w:val="0"/>
                <w:color w:val="000000"/>
                <w:kern w:val="0"/>
                <w:sz w:val="30"/>
                <w:szCs w:val="30"/>
                <w:u w:val="none"/>
                <w:lang w:val="en-US" w:eastAsia="zh-CN" w:bidi="ar"/>
              </w:rPr>
              <w:t>3.1.3 其余得分按“创建市级以上（包含市级）农业龙头企业品牌或者产品品牌的数量”÷</w:t>
            </w:r>
            <w:r>
              <w:rPr>
                <w:rStyle w:val="9"/>
                <w:rFonts w:hint="eastAsia" w:ascii="仿宋_GB2312" w:hAnsi="仿宋_GB2312" w:eastAsia="仿宋_GB2312" w:cs="仿宋_GB2312"/>
                <w:sz w:val="30"/>
                <w:szCs w:val="30"/>
                <w:lang w:val="en-US" w:eastAsia="zh-CN" w:bidi="ar"/>
              </w:rPr>
              <w:t>5×8分计算得分。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5" w:hRule="atLeast"/>
          <w:tblHeader/>
        </w:trPr>
        <w:tc>
          <w:tcPr>
            <w:tcW w:w="14000"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rPr>
                <w:rStyle w:val="9"/>
                <w:rFonts w:hint="default" w:ascii="仿宋_GB2312" w:hAnsi="仿宋_GB2312" w:eastAsia="仿宋_GB2312" w:cs="仿宋_GB2312"/>
                <w:sz w:val="30"/>
                <w:szCs w:val="30"/>
                <w:lang w:val="en-US" w:eastAsia="zh-CN" w:bidi="ar"/>
              </w:rPr>
            </w:pPr>
            <w:r>
              <w:rPr>
                <w:rStyle w:val="9"/>
                <w:rFonts w:hint="eastAsia" w:ascii="仿宋_GB2312" w:hAnsi="仿宋_GB2312" w:eastAsia="仿宋_GB2312" w:cs="仿宋_GB2312"/>
                <w:sz w:val="30"/>
                <w:szCs w:val="30"/>
                <w:lang w:val="en-US" w:eastAsia="zh-CN" w:bidi="ar"/>
              </w:rPr>
              <w:t>4.土地流转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tblHeader/>
        </w:trPr>
        <w:tc>
          <w:tcPr>
            <w:tcW w:w="23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Style w:val="11"/>
                <w:rFonts w:hint="eastAsia" w:ascii="仿宋_GB2312" w:hAnsi="仿宋_GB2312" w:eastAsia="仿宋_GB2312" w:cs="仿宋_GB2312"/>
                <w:sz w:val="30"/>
                <w:szCs w:val="30"/>
                <w:lang w:val="en-US" w:eastAsia="zh-CN" w:bidi="ar"/>
              </w:rPr>
              <w:t xml:space="preserve">4.1 </w:t>
            </w:r>
            <w:r>
              <w:rPr>
                <w:rStyle w:val="9"/>
                <w:rFonts w:hint="eastAsia" w:ascii="仿宋_GB2312" w:hAnsi="仿宋_GB2312" w:eastAsia="仿宋_GB2312" w:cs="仿宋_GB2312"/>
                <w:sz w:val="30"/>
                <w:szCs w:val="30"/>
                <w:lang w:val="en-US" w:eastAsia="zh-CN" w:bidi="ar"/>
              </w:rPr>
              <w:t>土地流转</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4.1.1 土地流转率高于全市平均水平8个百分点以上，得10分；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4.1.2 其余得分按“土地流转率高于全市平均水平的百分点数”÷8个百分点×10分计算；得分少于4分的，按0分计算。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0" w:hRule="atLeast"/>
          <w:tblHeader/>
        </w:trPr>
        <w:tc>
          <w:tcPr>
            <w:tcW w:w="2330" w:type="dxa"/>
            <w:tcBorders>
              <w:tl2br w:val="nil"/>
              <w:tr2bl w:val="nil"/>
            </w:tcBorders>
            <w:shd w:val="clear" w:color="auto" w:fill="auto"/>
            <w:tcMar>
              <w:top w:w="15" w:type="dxa"/>
              <w:left w:w="36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Chars="10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小计</w:t>
            </w:r>
          </w:p>
        </w:tc>
        <w:tc>
          <w:tcPr>
            <w:tcW w:w="10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100</w:t>
            </w:r>
          </w:p>
        </w:tc>
        <w:tc>
          <w:tcPr>
            <w:tcW w:w="106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16" w:firstLineChars="139"/>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产业综合得分乘以权重30%计入绩效评价总分。</w:t>
            </w:r>
          </w:p>
        </w:tc>
      </w:tr>
    </w:tbl>
    <w:p>
      <w:pPr>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footerReference r:id="rId4" w:type="even"/>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r>
      <w:rPr>
        <w:rFonts w:hint="eastAsia"/>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2</w:t>
    </w:r>
    <w:r>
      <w:rPr>
        <w:rFonts w:hint="eastAsia"/>
        <w:sz w:val="28"/>
        <w:lang w:eastAsia="zh-CN"/>
      </w:rPr>
      <w:fldChar w:fldCharType="end"/>
    </w:r>
    <w:r>
      <w:rPr>
        <w:rFonts w:hint="eastAsia"/>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trackRevisions w:val="1"/>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01BD9"/>
    <w:rsid w:val="01AA55CF"/>
    <w:rsid w:val="01FC51C5"/>
    <w:rsid w:val="03F2550D"/>
    <w:rsid w:val="040B41EA"/>
    <w:rsid w:val="0613729D"/>
    <w:rsid w:val="06394B70"/>
    <w:rsid w:val="06511363"/>
    <w:rsid w:val="090908E8"/>
    <w:rsid w:val="09C31E78"/>
    <w:rsid w:val="0A366C9F"/>
    <w:rsid w:val="0A786065"/>
    <w:rsid w:val="0B561BCA"/>
    <w:rsid w:val="0C6656C7"/>
    <w:rsid w:val="157F4BB4"/>
    <w:rsid w:val="185D5CE8"/>
    <w:rsid w:val="209B5FBE"/>
    <w:rsid w:val="20C50ACC"/>
    <w:rsid w:val="235B4E26"/>
    <w:rsid w:val="24B645CF"/>
    <w:rsid w:val="24DB13BC"/>
    <w:rsid w:val="29163EC1"/>
    <w:rsid w:val="295E5319"/>
    <w:rsid w:val="2A273034"/>
    <w:rsid w:val="2C1E04EA"/>
    <w:rsid w:val="2D4D724B"/>
    <w:rsid w:val="2D9F41DC"/>
    <w:rsid w:val="2F3532FB"/>
    <w:rsid w:val="30F02386"/>
    <w:rsid w:val="32D52EB1"/>
    <w:rsid w:val="35481C09"/>
    <w:rsid w:val="37264FA4"/>
    <w:rsid w:val="37C461D8"/>
    <w:rsid w:val="3AD764CA"/>
    <w:rsid w:val="3D205585"/>
    <w:rsid w:val="4061233B"/>
    <w:rsid w:val="41096AD1"/>
    <w:rsid w:val="46EA6FF5"/>
    <w:rsid w:val="47875257"/>
    <w:rsid w:val="4AB17D7A"/>
    <w:rsid w:val="4BC11C18"/>
    <w:rsid w:val="4BDA636C"/>
    <w:rsid w:val="4BFC657A"/>
    <w:rsid w:val="4FBC4DA1"/>
    <w:rsid w:val="54DA0B00"/>
    <w:rsid w:val="55040FCB"/>
    <w:rsid w:val="55792886"/>
    <w:rsid w:val="565E1C1A"/>
    <w:rsid w:val="56F14058"/>
    <w:rsid w:val="5B703539"/>
    <w:rsid w:val="5E6C5B1C"/>
    <w:rsid w:val="5F8F1EB5"/>
    <w:rsid w:val="5FE0412C"/>
    <w:rsid w:val="60F94519"/>
    <w:rsid w:val="617D56A3"/>
    <w:rsid w:val="63654646"/>
    <w:rsid w:val="646112FC"/>
    <w:rsid w:val="689A294D"/>
    <w:rsid w:val="689E33ED"/>
    <w:rsid w:val="69892A4A"/>
    <w:rsid w:val="6AE74F91"/>
    <w:rsid w:val="6ED122AF"/>
    <w:rsid w:val="70092CC8"/>
    <w:rsid w:val="702176B6"/>
    <w:rsid w:val="7A007B3D"/>
    <w:rsid w:val="7C17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 w:type="character" w:customStyle="1" w:styleId="7">
    <w:name w:val="font51"/>
    <w:basedOn w:val="5"/>
    <w:qFormat/>
    <w:uiPriority w:val="0"/>
    <w:rPr>
      <w:rFonts w:hint="eastAsia" w:ascii="宋体" w:hAnsi="宋体" w:eastAsia="宋体" w:cs="宋体"/>
      <w:color w:val="000000"/>
      <w:sz w:val="23"/>
      <w:szCs w:val="23"/>
      <w:u w:val="none"/>
    </w:rPr>
  </w:style>
  <w:style w:type="character" w:customStyle="1" w:styleId="8">
    <w:name w:val="font61"/>
    <w:basedOn w:val="5"/>
    <w:qFormat/>
    <w:uiPriority w:val="0"/>
    <w:rPr>
      <w:rFonts w:hint="default" w:ascii="Times New Roman" w:hAnsi="Times New Roman" w:cs="Times New Roman"/>
      <w:color w:val="000000"/>
      <w:sz w:val="23"/>
      <w:szCs w:val="23"/>
      <w:u w:val="none"/>
    </w:rPr>
  </w:style>
  <w:style w:type="character" w:customStyle="1" w:styleId="9">
    <w:name w:val="font91"/>
    <w:basedOn w:val="5"/>
    <w:qFormat/>
    <w:uiPriority w:val="0"/>
    <w:rPr>
      <w:rFonts w:hint="eastAsia" w:ascii="宋体" w:hAnsi="宋体" w:eastAsia="宋体" w:cs="宋体"/>
      <w:color w:val="000000"/>
      <w:sz w:val="21"/>
      <w:szCs w:val="21"/>
      <w:u w:val="none"/>
    </w:rPr>
  </w:style>
  <w:style w:type="character" w:customStyle="1" w:styleId="10">
    <w:name w:val="font101"/>
    <w:basedOn w:val="5"/>
    <w:qFormat/>
    <w:uiPriority w:val="0"/>
    <w:rPr>
      <w:rFonts w:hint="default" w:ascii="Times New Roman" w:hAnsi="Times New Roman" w:cs="Times New Roman"/>
      <w:color w:val="000000"/>
      <w:sz w:val="21"/>
      <w:szCs w:val="21"/>
      <w:u w:val="none"/>
    </w:rPr>
  </w:style>
  <w:style w:type="character" w:customStyle="1" w:styleId="11">
    <w:name w:val="font111"/>
    <w:basedOn w:val="5"/>
    <w:qFormat/>
    <w:uiPriority w:val="0"/>
    <w:rPr>
      <w:rFonts w:hint="eastAsia" w:ascii="宋体" w:hAnsi="宋体" w:eastAsia="宋体" w:cs="宋体"/>
      <w:color w:val="000000"/>
      <w:sz w:val="23"/>
      <w:szCs w:val="23"/>
      <w:u w:val="none"/>
    </w:rPr>
  </w:style>
  <w:style w:type="character" w:customStyle="1" w:styleId="12">
    <w:name w:val="font71"/>
    <w:basedOn w:val="5"/>
    <w:qFormat/>
    <w:uiPriority w:val="0"/>
    <w:rPr>
      <w:rFonts w:hint="default" w:ascii="Times New Roman" w:hAnsi="Times New Roman" w:cs="Times New Roman"/>
      <w:color w:val="000000"/>
      <w:sz w:val="34"/>
      <w:szCs w:val="34"/>
      <w:u w:val="none"/>
    </w:rPr>
  </w:style>
  <w:style w:type="character" w:customStyle="1" w:styleId="13">
    <w:name w:val="font8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2019-06-08T04:17:00Z</dcterms:created>
  <dc:creator>Administrator</dc:creator>
  <cp:lastModifiedBy>Administrator</cp:lastModifiedBy>
  <cp:lastPrinted>2019-11-20T07:44:00Z</cp:lastPrinted>
  <dcterms:modified xsi:type="dcterms:W3CDTF">2020-01-07T03:10:33Z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