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"/>
        </w:tabs>
        <w:jc w:val="left"/>
        <w:rPr>
          <w:rFonts w:hint="eastAsia" w:ascii="文鼎小标宋简" w:hAnsi="文鼎小标宋简" w:eastAsia="文鼎小标宋简" w:cs="文鼎小标宋简"/>
          <w:color w:val="auto"/>
          <w:sz w:val="30"/>
          <w:szCs w:val="30"/>
          <w:highlight w:val="none"/>
          <w:u w:val="none"/>
          <w:lang w:eastAsia="zh-CN"/>
        </w:rPr>
      </w:pPr>
      <w:bookmarkStart w:id="1" w:name="_GoBack"/>
      <w:bookmarkEnd w:id="1"/>
    </w:p>
    <w:p>
      <w:pPr>
        <w:ind w:firstLine="0" w:firstLineChars="0"/>
        <w:rPr>
          <w:rFonts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</w:p>
    <w:p>
      <w:pPr>
        <w:rPr>
          <w:rFonts w:eastAsia="黑体"/>
          <w:color w:val="auto"/>
          <w:szCs w:val="32"/>
          <w:highlight w:val="none"/>
          <w:u w:val="none"/>
        </w:rPr>
      </w:pPr>
      <w:r>
        <w:rPr>
          <w:rFonts w:eastAsia="宋体"/>
          <w:b/>
          <w:bCs/>
          <w:color w:val="auto"/>
          <w:sz w:val="28"/>
          <w:szCs w:val="28"/>
          <w:highlight w:val="none"/>
          <w:u w:val="none"/>
        </w:rPr>
        <w:t>附件</w:t>
      </w:r>
      <w:r>
        <w:rPr>
          <w:rFonts w:hint="eastAsia" w:eastAsia="宋体"/>
          <w:b/>
          <w:bCs/>
          <w:color w:val="auto"/>
          <w:sz w:val="28"/>
          <w:szCs w:val="28"/>
          <w:highlight w:val="none"/>
          <w:u w:val="none"/>
        </w:rPr>
        <w:t>1</w:t>
      </w:r>
      <w:r>
        <w:rPr>
          <w:rFonts w:eastAsia="宋体"/>
          <w:b/>
          <w:bCs/>
          <w:color w:val="auto"/>
          <w:sz w:val="28"/>
          <w:szCs w:val="28"/>
          <w:highlight w:val="none"/>
          <w:u w:val="none"/>
        </w:rPr>
        <w:t xml:space="preserve">   </w:t>
      </w:r>
      <w:r>
        <w:rPr>
          <w:rFonts w:eastAsia="黑体"/>
          <w:color w:val="auto"/>
          <w:szCs w:val="32"/>
          <w:highlight w:val="none"/>
          <w:u w:val="none"/>
        </w:rPr>
        <w:t xml:space="preserve">              </w:t>
      </w:r>
    </w:p>
    <w:p>
      <w:pPr>
        <w:jc w:val="center"/>
        <w:rPr>
          <w:rFonts w:eastAsia="文鼎小标宋简"/>
          <w:color w:val="auto"/>
          <w:szCs w:val="32"/>
          <w:highlight w:val="none"/>
          <w:u w:val="none"/>
        </w:rPr>
      </w:pPr>
      <w:r>
        <w:rPr>
          <w:rFonts w:eastAsia="黑体"/>
          <w:color w:val="auto"/>
          <w:highlight w:val="none"/>
          <w:u w:val="none"/>
        </w:rPr>
        <w:t>2018年</w:t>
      </w:r>
      <w:r>
        <w:rPr>
          <w:rFonts w:hint="eastAsia" w:eastAsia="黑体"/>
          <w:color w:val="auto"/>
          <w:highlight w:val="none"/>
          <w:u w:val="none"/>
          <w:lang w:eastAsia="zh-CN"/>
        </w:rPr>
        <w:t>汕头</w:t>
      </w:r>
      <w:r>
        <w:rPr>
          <w:rFonts w:eastAsia="黑体"/>
          <w:color w:val="auto"/>
          <w:highlight w:val="none"/>
          <w:u w:val="none"/>
        </w:rPr>
        <w:t>市</w:t>
      </w:r>
      <w:r>
        <w:rPr>
          <w:rFonts w:hint="eastAsia" w:eastAsia="黑体"/>
          <w:color w:val="auto"/>
          <w:highlight w:val="none"/>
          <w:u w:val="none"/>
          <w:lang w:eastAsia="zh-CN"/>
        </w:rPr>
        <w:t>各区县</w:t>
      </w:r>
      <w:r>
        <w:rPr>
          <w:rFonts w:eastAsia="黑体"/>
          <w:color w:val="auto"/>
          <w:highlight w:val="none"/>
          <w:u w:val="none"/>
        </w:rPr>
        <w:t>重点任务表</w:t>
      </w:r>
    </w:p>
    <w:tbl>
      <w:tblPr>
        <w:tblStyle w:val="11"/>
        <w:tblW w:w="7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741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  <w:t>重     点     任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4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编制完成重点行业企业用地土壤污染状况调查实施方案并报送审核；完成重点行业企业用地基础信息调查和风险筛查与核实工作，确定初步采样调查的企业和重点工业园区名单，对部分地块启动初步采样调查。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4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</w:rPr>
              <w:t>2018年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10月底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确定并公布土壤污染防治重点监管企业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，具体为：金平区（汕头经济特区新昌纺织印染厂有限公司）、龙湖区（</w:t>
            </w:r>
            <w:r>
              <w:rPr>
                <w:rFonts w:hint="default" w:eastAsia="楷体_GB2312"/>
                <w:color w:val="auto"/>
                <w:sz w:val="24"/>
                <w:highlight w:val="none"/>
                <w:u w:val="none"/>
                <w:lang w:bidi="ar"/>
              </w:rPr>
              <w:t>汕头经济特区化工气体厂有限公司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、濠江区（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汕头市华印纺织印染有限公司）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、澄海区（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汕头市澄海区溪南其乐电镀厂）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/>
                <w:color w:val="auto"/>
                <w:sz w:val="24"/>
                <w:szCs w:val="24"/>
                <w:highlight w:val="none"/>
                <w:u w:val="none"/>
              </w:rPr>
              <w:t>潮阳区（汕头市永源金属再生有限公司）</w:t>
            </w:r>
            <w:r>
              <w:rPr>
                <w:rFonts w:hint="eastAsia" w:eastAsia="楷体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，上述各区人民政府要于10月底前与重点监管企业签订土壤污染防治目标责任书并公开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</w:rPr>
              <w:t>；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2017年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已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签订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土壤污染防治目标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责任书的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</w:rPr>
              <w:t>汕头市龙凤印染有限公司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（潮南区）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要开展自行监测或委托第三方监测，监测结果向当地环保部门备案并向社会公开。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4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重点行业重点重金属排放量比2013年下降7%。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413" w:type="dxa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潮阳区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在中轻度污染耕地集中连片的镇（街道）率先开展面积不少于1400亩的受污染耕地安全利用试点工作；开展1项以上受污染耕地综合治理与修复示范工程</w:t>
            </w:r>
            <w:r>
              <w:rPr>
                <w:rFonts w:hint="default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eastAsia="楷体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汕头市潮阳区贵屿镇受污染土壤治理与修复试点示范项目</w:t>
            </w:r>
            <w:r>
              <w:rPr>
                <w:rFonts w:hint="default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  <w:jc w:val="center"/>
        </w:trPr>
        <w:tc>
          <w:tcPr>
            <w:tcW w:w="47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7413" w:type="dxa"/>
            <w:vAlign w:val="center"/>
          </w:tcPr>
          <w:p>
            <w:pPr>
              <w:spacing w:line="300" w:lineRule="exact"/>
              <w:jc w:val="left"/>
              <w:rPr>
                <w:rFonts w:eastAsia="楷体_GB2312"/>
                <w:b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基于重点行业企业用地土壤污染状况调查形成的关闭搬迁企业清单，进一步核实补充</w:t>
            </w:r>
            <w:r>
              <w:rPr>
                <w:rFonts w:hint="default" w:eastAsia="楷体_GB2312"/>
                <w:color w:val="auto"/>
                <w:sz w:val="24"/>
                <w:szCs w:val="24"/>
                <w:highlight w:val="none"/>
                <w:u w:val="none"/>
              </w:rPr>
              <w:t>关闭搬迁企业情况</w:t>
            </w:r>
            <w:r>
              <w:rPr>
                <w:rFonts w:eastAsia="楷体_GB2312"/>
                <w:color w:val="auto"/>
                <w:sz w:val="24"/>
                <w:szCs w:val="24"/>
                <w:highlight w:val="none"/>
                <w:u w:val="none"/>
              </w:rPr>
              <w:t>，建立本地疑似污染地块名单，并按有关要求录入全国污染地块土壤环境管理信息系统；开展1项以上工业污染地块环境调查、风险评估和治理修复示范工程</w:t>
            </w: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eastAsia="黑体"/>
          <w:color w:val="auto"/>
          <w:highlight w:val="none"/>
          <w:u w:val="none"/>
        </w:rPr>
      </w:pPr>
    </w:p>
    <w:p>
      <w:pPr>
        <w:jc w:val="both"/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jc w:val="both"/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jc w:val="both"/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jc w:val="both"/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jc w:val="both"/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eastAsia="zh-CN"/>
        </w:rPr>
        <w:t>附件</w:t>
      </w:r>
      <w:r>
        <w:rPr>
          <w:rFonts w:hint="default" w:eastAsia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2</w:t>
      </w:r>
    </w:p>
    <w:p>
      <w:pPr>
        <w:jc w:val="center"/>
        <w:rPr>
          <w:rFonts w:eastAsia="黑体"/>
          <w:color w:val="auto"/>
          <w:highlight w:val="none"/>
          <w:u w:val="none"/>
        </w:rPr>
      </w:pPr>
      <w:r>
        <w:rPr>
          <w:rFonts w:hint="eastAsia" w:eastAsia="黑体"/>
          <w:color w:val="auto"/>
          <w:highlight w:val="none"/>
          <w:u w:val="none"/>
        </w:rPr>
        <w:t xml:space="preserve"> </w:t>
      </w:r>
      <w:r>
        <w:rPr>
          <w:rFonts w:hint="default" w:eastAsia="黑体"/>
          <w:color w:val="auto"/>
          <w:highlight w:val="none"/>
          <w:u w:val="none"/>
          <w:lang w:val="en-US" w:eastAsia="zh-CN"/>
        </w:rPr>
        <w:t>2018年汕头</w:t>
      </w:r>
      <w:r>
        <w:rPr>
          <w:rFonts w:eastAsia="黑体"/>
          <w:color w:val="auto"/>
          <w:highlight w:val="none"/>
          <w:u w:val="none"/>
        </w:rPr>
        <w:t>市受污染耕地安全利用试点面积表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289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top"/>
          </w:tcPr>
          <w:p>
            <w:pPr>
              <w:spacing w:line="440" w:lineRule="exact"/>
              <w:jc w:val="center"/>
              <w:rPr>
                <w:rFonts w:eastAsia="楷体_GB2312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b/>
                <w:color w:val="auto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3289" w:type="dxa"/>
            <w:vAlign w:val="top"/>
          </w:tcPr>
          <w:p>
            <w:pPr>
              <w:spacing w:line="440" w:lineRule="exact"/>
              <w:jc w:val="center"/>
              <w:rPr>
                <w:rFonts w:eastAsia="楷体_GB2312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eastAsia="楷体_GB2312"/>
                <w:b/>
                <w:color w:val="auto"/>
                <w:sz w:val="24"/>
                <w:highlight w:val="none"/>
                <w:u w:val="none"/>
                <w:lang w:eastAsia="zh-CN"/>
              </w:rPr>
              <w:t>区县</w:t>
            </w:r>
          </w:p>
        </w:tc>
        <w:tc>
          <w:tcPr>
            <w:tcW w:w="4304" w:type="dxa"/>
            <w:vAlign w:val="top"/>
          </w:tcPr>
          <w:p>
            <w:pPr>
              <w:spacing w:line="440" w:lineRule="exact"/>
              <w:jc w:val="center"/>
              <w:rPr>
                <w:rFonts w:eastAsia="楷体_GB2312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b/>
                <w:color w:val="auto"/>
                <w:sz w:val="24"/>
                <w:highlight w:val="none"/>
                <w:u w:val="none"/>
              </w:rPr>
              <w:t>试点面积（亩）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top"/>
          </w:tcPr>
          <w:p>
            <w:pPr>
              <w:numPr>
                <w:ilvl w:val="0"/>
                <w:numId w:val="4"/>
              </w:numPr>
              <w:spacing w:line="440" w:lineRule="exact"/>
              <w:ind w:firstLine="0"/>
              <w:jc w:val="center"/>
              <w:rPr>
                <w:rFonts w:eastAsia="楷体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289" w:type="dxa"/>
            <w:vAlign w:val="top"/>
          </w:tcPr>
          <w:p>
            <w:pPr>
              <w:spacing w:line="440" w:lineRule="exact"/>
              <w:jc w:val="center"/>
              <w:rPr>
                <w:rFonts w:eastAsia="楷体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eastAsia="楷体_GB2312"/>
                <w:color w:val="auto"/>
                <w:sz w:val="24"/>
                <w:highlight w:val="none"/>
                <w:u w:val="none"/>
                <w:lang w:eastAsia="zh-CN"/>
              </w:rPr>
              <w:t>潮阳区</w:t>
            </w:r>
          </w:p>
        </w:tc>
        <w:tc>
          <w:tcPr>
            <w:tcW w:w="4304" w:type="dxa"/>
            <w:vAlign w:val="top"/>
          </w:tcPr>
          <w:p>
            <w:pPr>
              <w:spacing w:line="440" w:lineRule="exact"/>
              <w:jc w:val="center"/>
              <w:rPr>
                <w:rFonts w:eastAsia="楷体_GB2312"/>
                <w:color w:val="auto"/>
                <w:sz w:val="24"/>
                <w:highlight w:val="none"/>
                <w:u w:val="none"/>
              </w:rPr>
            </w:pPr>
            <w:r>
              <w:rPr>
                <w:rFonts w:eastAsia="楷体_GB2312"/>
                <w:color w:val="auto"/>
                <w:sz w:val="24"/>
                <w:highlight w:val="none"/>
                <w:u w:val="none"/>
              </w:rPr>
              <w:t>1400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u w:val="none"/>
        </w:rPr>
      </w:pPr>
      <w:r>
        <w:rPr>
          <w:rFonts w:eastAsia="楷体_GB2312"/>
          <w:color w:val="auto"/>
          <w:sz w:val="24"/>
          <w:highlight w:val="none"/>
          <w:u w:val="none"/>
        </w:rPr>
        <w:t>备注：参考《关于印发＜广东</w:t>
      </w:r>
      <w:r>
        <w:rPr>
          <w:rFonts w:hint="eastAsia" w:eastAsia="楷体_GB2312"/>
          <w:color w:val="auto"/>
          <w:sz w:val="24"/>
          <w:highlight w:val="none"/>
          <w:u w:val="none"/>
          <w:lang w:eastAsia="zh-CN"/>
        </w:rPr>
        <w:t>省环保厅</w:t>
      </w:r>
      <w:r>
        <w:rPr>
          <w:rFonts w:eastAsia="楷体_GB2312"/>
          <w:color w:val="auto"/>
          <w:sz w:val="24"/>
          <w:highlight w:val="none"/>
          <w:u w:val="none"/>
        </w:rPr>
        <w:t>关于土壤污染治理与修复的规划（2017-2020年）＞的通知》（粤环发〔2017〕12号）重点任务中第二条第三款；试点面积根据各地级以上市责任书中任务面积的一定比例设定，其中湛江市比例约为1%，其他地级以上市约为5%</w:t>
      </w:r>
      <w:r>
        <w:rPr>
          <w:rFonts w:hint="eastAsia" w:eastAsia="楷体_GB2312"/>
          <w:color w:val="auto"/>
          <w:sz w:val="24"/>
          <w:highlight w:val="none"/>
          <w:u w:val="none"/>
          <w:lang w:eastAsia="zh-CN"/>
        </w:rPr>
        <w:t>。</w:t>
      </w:r>
      <w:bookmarkStart w:id="0" w:name="FWDWBM"/>
      <w:bookmarkEnd w:id="0"/>
    </w:p>
    <w:sectPr>
      <w:footerReference r:id="rId3" w:type="default"/>
      <w:pgSz w:w="11906" w:h="16838"/>
      <w:pgMar w:top="1134" w:right="1417" w:bottom="1134" w:left="1417" w:header="851" w:footer="1020" w:gutter="0"/>
      <w:pgNumType w:fmt="decimal"/>
      <w:cols w:space="720" w:num="1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jjfzCxAQAASQ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4t1kitH5tNVhzWw8hg7do9su5x7A21uJeU6G8WVU0bMhkwGevJ2HpQmy6vUCof/PU2Yje5&#10;yVThCDsWxnllmuNupYV47+estz9g9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ON/ML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ideographDigital"/>
      <w:pStyle w:val="3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A"/>
    <w:multiLevelType w:val="singleLevel"/>
    <w:tmpl w:val="0000001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23"/>
    <w:multiLevelType w:val="multilevel"/>
    <w:tmpl w:val="00000023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trackRevisions w:val="1"/>
  <w:documentProtection w:enforcement="0"/>
  <w:defaultTabStop w:val="420"/>
  <w:hyphenationZone w:val="360"/>
  <w:drawingGridHorizontalSpacing w:val="158"/>
  <w:drawingGridVerticalSpacing w:val="302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5662E"/>
    <w:rsid w:val="013C7018"/>
    <w:rsid w:val="08462EFA"/>
    <w:rsid w:val="08AB1B26"/>
    <w:rsid w:val="0912134A"/>
    <w:rsid w:val="091532E4"/>
    <w:rsid w:val="09455743"/>
    <w:rsid w:val="0C3F0251"/>
    <w:rsid w:val="0D067DF1"/>
    <w:rsid w:val="0DE242FF"/>
    <w:rsid w:val="0FFF1505"/>
    <w:rsid w:val="101C418A"/>
    <w:rsid w:val="12785C9B"/>
    <w:rsid w:val="12C245A7"/>
    <w:rsid w:val="1367754A"/>
    <w:rsid w:val="168B65D0"/>
    <w:rsid w:val="17E75510"/>
    <w:rsid w:val="19632560"/>
    <w:rsid w:val="1A096B23"/>
    <w:rsid w:val="1C3D19BC"/>
    <w:rsid w:val="1C8139C0"/>
    <w:rsid w:val="1F9264F6"/>
    <w:rsid w:val="1FB52EE0"/>
    <w:rsid w:val="206F4FFC"/>
    <w:rsid w:val="247C6B5B"/>
    <w:rsid w:val="2511632A"/>
    <w:rsid w:val="283B5157"/>
    <w:rsid w:val="28BD159B"/>
    <w:rsid w:val="28C77B6A"/>
    <w:rsid w:val="29DA05B9"/>
    <w:rsid w:val="2BD1611F"/>
    <w:rsid w:val="2C764745"/>
    <w:rsid w:val="2E6D721F"/>
    <w:rsid w:val="2FF71B69"/>
    <w:rsid w:val="308A0DFB"/>
    <w:rsid w:val="31206F12"/>
    <w:rsid w:val="31DC2885"/>
    <w:rsid w:val="328A21D4"/>
    <w:rsid w:val="354711C7"/>
    <w:rsid w:val="35DB0A13"/>
    <w:rsid w:val="36233463"/>
    <w:rsid w:val="3E056894"/>
    <w:rsid w:val="4063684D"/>
    <w:rsid w:val="477F257F"/>
    <w:rsid w:val="49B43A21"/>
    <w:rsid w:val="4DE25169"/>
    <w:rsid w:val="52131F77"/>
    <w:rsid w:val="52343D2B"/>
    <w:rsid w:val="543E4E1E"/>
    <w:rsid w:val="55011CA2"/>
    <w:rsid w:val="59595D72"/>
    <w:rsid w:val="5C8F651A"/>
    <w:rsid w:val="5FBD487F"/>
    <w:rsid w:val="60FE3DFF"/>
    <w:rsid w:val="61A76381"/>
    <w:rsid w:val="6A114329"/>
    <w:rsid w:val="6AA464C9"/>
    <w:rsid w:val="6B8948B6"/>
    <w:rsid w:val="6DEE2022"/>
    <w:rsid w:val="6E5502B6"/>
    <w:rsid w:val="704C2A13"/>
    <w:rsid w:val="707C500F"/>
    <w:rsid w:val="714521A7"/>
    <w:rsid w:val="748C0A05"/>
    <w:rsid w:val="76F22FBA"/>
    <w:rsid w:val="7C20376E"/>
    <w:rsid w:val="7DD17C29"/>
    <w:rsid w:val="7E240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4"/>
    <w:qFormat/>
    <w:uiPriority w:val="0"/>
    <w:pPr>
      <w:keepNext/>
      <w:keepLines/>
      <w:numPr>
        <w:ilvl w:val="0"/>
        <w:numId w:val="2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3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10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 2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Calibri" w:hAnsi="Calibri" w:eastAsia="仿宋" w:cs="Times New Roman"/>
      <w:sz w:val="30"/>
      <w:szCs w:val="22"/>
      <w:lang w:val="en-US" w:eastAsia="zh-CN" w:bidi="ar-SA"/>
    </w:rPr>
  </w:style>
  <w:style w:type="paragraph" w:styleId="6">
    <w:name w:val="Body Text"/>
    <w:basedOn w:val="1"/>
    <w:qFormat/>
    <w:uiPriority w:val="0"/>
    <w:rPr>
      <w:rFonts w:eastAsia="方正姚体"/>
      <w:b/>
      <w:color w:val="FF0000"/>
      <w:sz w:val="84"/>
    </w:rPr>
  </w:style>
  <w:style w:type="paragraph" w:styleId="7">
    <w:name w:val="Balloon Text"/>
    <w:basedOn w:val="1"/>
    <w:link w:val="1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2">
    <w:name w:val="批注框文本 字符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5580</Words>
  <Characters>31810</Characters>
  <Lines>265</Lines>
  <Paragraphs>74</Paragraphs>
  <TotalTime>3</TotalTime>
  <ScaleCrop>false</ScaleCrop>
  <LinksUpToDate>false</LinksUpToDate>
  <CharactersWithSpaces>37316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2018-05-07T09:42:00Z</dcterms:created>
  <dc:creator>彭海清</dc:creator>
  <cp:lastModifiedBy>Administrator</cp:lastModifiedBy>
  <cp:lastPrinted>2018-07-23T03:48:00Z</cp:lastPrinted>
  <dcterms:modified xsi:type="dcterms:W3CDTF">2018-09-30T07:11:41Z</dcterms:modified>
  <dc:title>广东省环境保护局文件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