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《汕头市出租汽车运价方案》</w:t>
      </w: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解读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一、出台背景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汕头市政府办公室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《关于印发汕头市出租汽车运价调整方案的通知》（汕府办﹝2012﹞102号）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执行有效期业已届满，市发改局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经对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运价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方案进行评估并广泛征听取了社会各方面意见，结合市情民意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，修改制定《汕头市出租汽车运价方案》（汕府办〔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号印发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二、新旧方案对比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（一）新制定的运价方案保持原运价方案中计价项目、</w:t>
      </w:r>
      <w:r>
        <w:rPr>
          <w:rFonts w:ascii="Times New Roman" w:hAnsi="Times New Roman" w:eastAsia="仿宋_GB2312"/>
          <w:sz w:val="32"/>
          <w:szCs w:val="32"/>
        </w:rPr>
        <w:t>运价标准和计价结构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不变。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由于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机构改革和</w:t>
      </w:r>
      <w:r>
        <w:rPr>
          <w:rFonts w:ascii="Times New Roman" w:hAnsi="Times New Roman" w:eastAsia="仿宋_GB2312"/>
          <w:sz w:val="32"/>
          <w:szCs w:val="32"/>
        </w:rPr>
        <w:t>原方案中运价与燃油价格联动的油品变化等政策性变动因素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，新制定的运价方案对这部分内容作相应的调整。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1、更改价格主管部门名称。</w:t>
      </w:r>
      <w:r>
        <w:rPr>
          <w:rFonts w:ascii="Times New Roman" w:hAnsi="Times New Roman" w:eastAsia="仿宋_GB2312"/>
          <w:kern w:val="0"/>
          <w:sz w:val="32"/>
          <w:szCs w:val="32"/>
        </w:rPr>
        <w:t>由于原市物价局机构改革后其职能已并入市发展和改革局，因此，《方案》中价格主管部门按机构改革后相应的名称确定。</w:t>
      </w:r>
    </w:p>
    <w:p>
      <w:pPr>
        <w:numPr>
          <w:ilvl w:val="0"/>
          <w:numId w:val="0"/>
        </w:numPr>
        <w:shd w:val="clear" w:color="auto" w:fill="FFFFFF"/>
        <w:spacing w:line="64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调整运价和燃油价格联动的油品和价格。</w:t>
      </w:r>
      <w:r>
        <w:rPr>
          <w:rFonts w:ascii="Times New Roman" w:hAnsi="Times New Roman" w:eastAsia="仿宋_GB2312"/>
          <w:kern w:val="0"/>
          <w:sz w:val="32"/>
          <w:szCs w:val="32"/>
        </w:rPr>
        <w:t>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方案</w:t>
      </w:r>
      <w:r>
        <w:rPr>
          <w:rFonts w:ascii="Times New Roman" w:hAnsi="Times New Roman" w:eastAsia="仿宋_GB2312"/>
          <w:kern w:val="0"/>
          <w:sz w:val="32"/>
          <w:szCs w:val="32"/>
        </w:rPr>
        <w:t>实行出租汽车运价和燃油价格联动机制中以93#（Ⅲ）的汽油零售价格作为运价和燃油价格联动的油品价格，由于我市自2014年10月1日起车用汽油执行国Ⅴ标准，油品升级后，标号也由93#（Ⅲ）改为92#（Ⅴ），同时价格也有所变动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新制定运价方案对</w:t>
      </w:r>
      <w:r>
        <w:rPr>
          <w:rFonts w:ascii="Times New Roman" w:hAnsi="Times New Roman" w:eastAsia="仿宋_GB2312"/>
          <w:kern w:val="0"/>
          <w:sz w:val="32"/>
          <w:szCs w:val="32"/>
        </w:rPr>
        <w:t>运价和燃油价格联动油品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kern w:val="0"/>
          <w:sz w:val="32"/>
          <w:szCs w:val="32"/>
        </w:rPr>
        <w:t>联动计算方法的基期加权平均油价作相应的调整。</w:t>
      </w:r>
    </w:p>
    <w:p>
      <w:pPr>
        <w:numPr>
          <w:ilvl w:val="0"/>
          <w:numId w:val="0"/>
        </w:numPr>
        <w:shd w:val="clear" w:color="auto" w:fill="FFFFFF"/>
        <w:spacing w:line="64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三、明确方案实施时限</w:t>
      </w:r>
    </w:p>
    <w:p>
      <w:pPr>
        <w:spacing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根据《汕头市行政机关规范性文件管理规定》有关规范性文件有效期的规定，新制定运价方案明确</w:t>
      </w:r>
      <w:r>
        <w:rPr>
          <w:rFonts w:hint="eastAsia" w:eastAsia="仿宋_GB2312" w:cs="仿宋_GB2312"/>
          <w:sz w:val="32"/>
          <w:szCs w:val="32"/>
        </w:rPr>
        <w:t>自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年</w:t>
      </w:r>
      <w:r>
        <w:rPr>
          <w:rFonts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月</w:t>
      </w:r>
      <w:r>
        <w:rPr>
          <w:rFonts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eastAsia="仿宋_GB2312" w:cs="仿宋_GB2312"/>
          <w:sz w:val="32"/>
          <w:szCs w:val="32"/>
        </w:rPr>
        <w:t>起执行，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有效期至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日止。</w:t>
      </w:r>
    </w:p>
    <w:p>
      <w:pPr>
        <w:numPr>
          <w:ilvl w:val="0"/>
          <w:numId w:val="0"/>
        </w:numPr>
        <w:shd w:val="clear" w:color="auto" w:fill="FFFFFF"/>
        <w:spacing w:line="640" w:lineRule="exact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shd w:val="clear" w:color="auto" w:fill="FFFFFF"/>
        <w:spacing w:line="640" w:lineRule="exact"/>
        <w:ind w:firstLine="66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640" w:lineRule="exac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45325"/>
    <w:rsid w:val="20A62472"/>
    <w:rsid w:val="3D2337AD"/>
    <w:rsid w:val="558029F3"/>
    <w:rsid w:val="6A2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2018-01-12T03:31:00Z</dcterms:created>
  <dc:creator>林锋</dc:creator>
  <cp:lastModifiedBy>Administrator</cp:lastModifiedBy>
  <dcterms:modified xsi:type="dcterms:W3CDTF">2018-12-14T03:10:41Z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